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B37" w:rsidRPr="00B20A7A" w:rsidRDefault="003C7B37">
      <w:pPr>
        <w:rPr>
          <w:rFonts w:cs="Arial"/>
        </w:rPr>
      </w:pPr>
    </w:p>
    <w:tbl>
      <w:tblPr>
        <w:tblW w:w="0" w:type="auto"/>
        <w:tblCellMar>
          <w:left w:w="0" w:type="dxa"/>
          <w:right w:w="0" w:type="dxa"/>
        </w:tblCellMar>
        <w:tblLook w:val="04A0" w:firstRow="1" w:lastRow="0" w:firstColumn="1" w:lastColumn="0" w:noHBand="0" w:noVBand="1"/>
      </w:tblPr>
      <w:tblGrid>
        <w:gridCol w:w="637"/>
        <w:gridCol w:w="8931"/>
      </w:tblGrid>
      <w:tr w:rsidR="0044770A" w:rsidRPr="00B20A7A" w:rsidTr="00031135">
        <w:tc>
          <w:tcPr>
            <w:tcW w:w="637" w:type="dxa"/>
            <w:tcMar>
              <w:top w:w="0" w:type="dxa"/>
              <w:left w:w="70" w:type="dxa"/>
              <w:bottom w:w="0" w:type="dxa"/>
              <w:right w:w="70" w:type="dxa"/>
            </w:tcMar>
            <w:hideMark/>
          </w:tcPr>
          <w:p w:rsidR="009D7C5A" w:rsidRPr="00B20A7A" w:rsidRDefault="009D7C5A" w:rsidP="00031135">
            <w:pPr>
              <w:rPr>
                <w:rFonts w:cs="Arial"/>
                <w:b/>
                <w:szCs w:val="24"/>
                <w:lang w:eastAsia="en-US"/>
              </w:rPr>
            </w:pPr>
            <w:r w:rsidRPr="00B20A7A">
              <w:rPr>
                <w:rFonts w:cs="Arial"/>
                <w:b/>
                <w:szCs w:val="24"/>
                <w:lang w:eastAsia="en-US"/>
              </w:rPr>
              <w:t>L.</w:t>
            </w:r>
          </w:p>
        </w:tc>
        <w:tc>
          <w:tcPr>
            <w:tcW w:w="8931" w:type="dxa"/>
            <w:tcMar>
              <w:top w:w="0" w:type="dxa"/>
              <w:left w:w="70" w:type="dxa"/>
              <w:bottom w:w="0" w:type="dxa"/>
              <w:right w:w="70" w:type="dxa"/>
            </w:tcMar>
            <w:hideMark/>
          </w:tcPr>
          <w:p w:rsidR="009D7C5A" w:rsidRPr="00B20A7A" w:rsidRDefault="00920EEC" w:rsidP="00031135">
            <w:pPr>
              <w:rPr>
                <w:rFonts w:cs="Arial"/>
                <w:b/>
                <w:szCs w:val="24"/>
                <w:u w:val="single"/>
                <w:lang w:eastAsia="en-US"/>
              </w:rPr>
            </w:pPr>
            <w:r w:rsidRPr="00B20A7A">
              <w:rPr>
                <w:rFonts w:cs="Arial"/>
                <w:b/>
                <w:szCs w:val="24"/>
                <w:u w:val="single"/>
                <w:lang w:eastAsia="en-US"/>
              </w:rPr>
              <w:t>Stabilisierungs- und Restrukturierungsverfahren; Sanierungsmoderationen</w:t>
            </w:r>
          </w:p>
        </w:tc>
      </w:tr>
    </w:tbl>
    <w:p w:rsidR="009D7C5A" w:rsidRPr="00B20A7A" w:rsidRDefault="009D7C5A" w:rsidP="009D7C5A">
      <w:pPr>
        <w:pStyle w:val="pb"/>
        <w:shd w:val="clear" w:color="auto" w:fill="FFFFFF"/>
        <w:tabs>
          <w:tab w:val="clear" w:pos="3686"/>
          <w:tab w:val="clear" w:pos="4820"/>
        </w:tabs>
        <w:rPr>
          <w:rFonts w:cs="Arial"/>
          <w:sz w:val="18"/>
          <w:szCs w:val="18"/>
        </w:rPr>
      </w:pPr>
    </w:p>
    <w:tbl>
      <w:tblPr>
        <w:tblW w:w="0" w:type="auto"/>
        <w:tblInd w:w="637" w:type="dxa"/>
        <w:tblLayout w:type="fixed"/>
        <w:tblCellMar>
          <w:left w:w="70" w:type="dxa"/>
          <w:right w:w="70" w:type="dxa"/>
        </w:tblCellMar>
        <w:tblLook w:val="0000" w:firstRow="0" w:lastRow="0" w:firstColumn="0" w:lastColumn="0" w:noHBand="0" w:noVBand="0"/>
      </w:tblPr>
      <w:tblGrid>
        <w:gridCol w:w="2268"/>
        <w:gridCol w:w="7230"/>
      </w:tblGrid>
      <w:tr w:rsidR="0044770A" w:rsidRPr="00B20A7A" w:rsidTr="00031135">
        <w:trPr>
          <w:cantSplit/>
        </w:trPr>
        <w:tc>
          <w:tcPr>
            <w:tcW w:w="2268" w:type="dxa"/>
          </w:tcPr>
          <w:p w:rsidR="009D7C5A" w:rsidRPr="00B20A7A" w:rsidRDefault="009D7C5A" w:rsidP="00031135">
            <w:pPr>
              <w:shd w:val="clear" w:color="auto" w:fill="FFFFFF"/>
              <w:ind w:left="-70"/>
              <w:rPr>
                <w:rFonts w:cs="Arial"/>
                <w:sz w:val="20"/>
              </w:rPr>
            </w:pPr>
            <w:r w:rsidRPr="00B20A7A">
              <w:rPr>
                <w:rFonts w:cs="Arial"/>
                <w:b/>
                <w:sz w:val="20"/>
                <w:u w:val="single"/>
              </w:rPr>
              <w:t>Dienstgebäude (HA):</w:t>
            </w:r>
          </w:p>
        </w:tc>
        <w:tc>
          <w:tcPr>
            <w:tcW w:w="7230" w:type="dxa"/>
          </w:tcPr>
          <w:p w:rsidR="009D7C5A" w:rsidRPr="00B20A7A" w:rsidRDefault="009D7C5A" w:rsidP="00031135">
            <w:pPr>
              <w:pStyle w:val="berschrift8"/>
              <w:shd w:val="clear" w:color="auto" w:fill="FFFFFF"/>
              <w:rPr>
                <w:rFonts w:ascii="Arial" w:hAnsi="Arial" w:cs="Arial"/>
                <w:color w:val="auto"/>
                <w:sz w:val="20"/>
              </w:rPr>
            </w:pPr>
            <w:r w:rsidRPr="00B20A7A">
              <w:rPr>
                <w:rFonts w:ascii="Arial" w:hAnsi="Arial" w:cs="Arial"/>
                <w:color w:val="auto"/>
                <w:sz w:val="20"/>
              </w:rPr>
              <w:t>Hamburger Allee 26, 30161 Hannover</w:t>
            </w:r>
          </w:p>
          <w:p w:rsidR="009D7C5A" w:rsidRPr="00B20A7A" w:rsidRDefault="009D7C5A" w:rsidP="00031135">
            <w:pPr>
              <w:shd w:val="clear" w:color="auto" w:fill="FFFFFF"/>
              <w:rPr>
                <w:rFonts w:cs="Arial"/>
                <w:sz w:val="20"/>
              </w:rPr>
            </w:pPr>
            <w:r w:rsidRPr="00B20A7A">
              <w:rPr>
                <w:rFonts w:cs="Arial"/>
                <w:b/>
                <w:sz w:val="20"/>
              </w:rPr>
              <w:sym w:font="Wingdings" w:char="F028"/>
            </w:r>
            <w:r w:rsidRPr="00B20A7A">
              <w:rPr>
                <w:rFonts w:cs="Arial"/>
                <w:sz w:val="20"/>
              </w:rPr>
              <w:t xml:space="preserve"> Durchwahl        </w:t>
            </w:r>
            <w:proofErr w:type="gramStart"/>
            <w:r w:rsidRPr="00B20A7A">
              <w:rPr>
                <w:rFonts w:cs="Arial"/>
                <w:sz w:val="20"/>
              </w:rPr>
              <w:t xml:space="preserve">  :</w:t>
            </w:r>
            <w:proofErr w:type="gramEnd"/>
            <w:r w:rsidRPr="00B20A7A">
              <w:rPr>
                <w:rFonts w:cs="Arial"/>
                <w:sz w:val="20"/>
              </w:rPr>
              <w:tab/>
              <w:t>(05 11) 3 47 - *...</w:t>
            </w:r>
          </w:p>
          <w:p w:rsidR="009D7C5A" w:rsidRPr="00B20A7A" w:rsidRDefault="009D7C5A" w:rsidP="00031135">
            <w:pPr>
              <w:shd w:val="clear" w:color="auto" w:fill="FFFFFF"/>
              <w:rPr>
                <w:rFonts w:cs="Arial"/>
                <w:sz w:val="20"/>
              </w:rPr>
            </w:pPr>
            <w:r w:rsidRPr="00B20A7A">
              <w:rPr>
                <w:rFonts w:cs="Arial"/>
                <w:b/>
                <w:sz w:val="20"/>
              </w:rPr>
              <w:sym w:font="Wingdings 2" w:char="F036"/>
            </w:r>
            <w:r w:rsidRPr="00B20A7A">
              <w:rPr>
                <w:rFonts w:cs="Arial"/>
                <w:sz w:val="20"/>
              </w:rPr>
              <w:t xml:space="preserve">                             </w:t>
            </w:r>
            <w:r w:rsidRPr="00B20A7A">
              <w:rPr>
                <w:rFonts w:cs="Arial"/>
                <w:sz w:val="20"/>
              </w:rPr>
              <w:tab/>
              <w:t>(05 11) 3 47 - 37 00</w:t>
            </w:r>
          </w:p>
        </w:tc>
      </w:tr>
    </w:tbl>
    <w:p w:rsidR="009D7C5A" w:rsidRPr="00B20A7A" w:rsidRDefault="009D7C5A" w:rsidP="009D7C5A">
      <w:pPr>
        <w:pStyle w:val="pb"/>
        <w:shd w:val="clear" w:color="auto" w:fill="FFFFFF"/>
        <w:rPr>
          <w:rFonts w:eastAsiaTheme="minorHAnsi" w:cs="Arial"/>
          <w:sz w:val="18"/>
          <w:szCs w:val="18"/>
        </w:rPr>
      </w:pPr>
    </w:p>
    <w:tbl>
      <w:tblPr>
        <w:tblW w:w="0" w:type="auto"/>
        <w:tblCellMar>
          <w:left w:w="0" w:type="dxa"/>
          <w:right w:w="0" w:type="dxa"/>
        </w:tblCellMar>
        <w:tblLook w:val="04A0" w:firstRow="1" w:lastRow="0" w:firstColumn="1" w:lastColumn="0" w:noHBand="0" w:noVBand="1"/>
      </w:tblPr>
      <w:tblGrid>
        <w:gridCol w:w="563"/>
        <w:gridCol w:w="8509"/>
      </w:tblGrid>
      <w:tr w:rsidR="0044770A" w:rsidRPr="00B20A7A" w:rsidTr="00031135">
        <w:tc>
          <w:tcPr>
            <w:tcW w:w="563" w:type="dxa"/>
            <w:tcMar>
              <w:top w:w="0" w:type="dxa"/>
              <w:left w:w="70" w:type="dxa"/>
              <w:bottom w:w="0" w:type="dxa"/>
              <w:right w:w="70" w:type="dxa"/>
            </w:tcMar>
            <w:hideMark/>
          </w:tcPr>
          <w:p w:rsidR="009D7C5A" w:rsidRPr="00B20A7A" w:rsidRDefault="009D7C5A" w:rsidP="00031135">
            <w:pPr>
              <w:rPr>
                <w:rFonts w:cs="Arial"/>
                <w:b/>
                <w:sz w:val="20"/>
                <w:lang w:eastAsia="en-US"/>
              </w:rPr>
            </w:pPr>
            <w:r w:rsidRPr="00B20A7A">
              <w:rPr>
                <w:rFonts w:cs="Arial"/>
                <w:b/>
                <w:sz w:val="20"/>
                <w:lang w:eastAsia="en-US"/>
              </w:rPr>
              <w:t>1.</w:t>
            </w:r>
          </w:p>
        </w:tc>
        <w:tc>
          <w:tcPr>
            <w:tcW w:w="8509" w:type="dxa"/>
            <w:tcMar>
              <w:top w:w="0" w:type="dxa"/>
              <w:left w:w="70" w:type="dxa"/>
              <w:bottom w:w="0" w:type="dxa"/>
              <w:right w:w="70" w:type="dxa"/>
            </w:tcMar>
            <w:hideMark/>
          </w:tcPr>
          <w:p w:rsidR="009D7C5A" w:rsidRPr="00B20A7A" w:rsidRDefault="009D7C5A" w:rsidP="00031135">
            <w:pPr>
              <w:rPr>
                <w:rFonts w:cs="Arial"/>
                <w:b/>
                <w:sz w:val="20"/>
                <w:lang w:eastAsia="en-US"/>
              </w:rPr>
            </w:pPr>
            <w:r w:rsidRPr="00B20A7A">
              <w:rPr>
                <w:rFonts w:cs="Arial"/>
                <w:b/>
                <w:sz w:val="20"/>
                <w:lang w:eastAsia="en-US"/>
              </w:rPr>
              <w:t>Eingangsgeschäftsstelle, Turnus</w:t>
            </w:r>
          </w:p>
        </w:tc>
      </w:tr>
    </w:tbl>
    <w:p w:rsidR="009D7C5A" w:rsidRPr="00B20A7A" w:rsidRDefault="009D7C5A" w:rsidP="009D7C5A">
      <w:pPr>
        <w:pStyle w:val="Normaltext"/>
        <w:shd w:val="clear" w:color="auto" w:fill="FFFFFF"/>
        <w:rPr>
          <w:rFonts w:eastAsiaTheme="minorHAnsi" w:cs="Arial"/>
          <w:sz w:val="22"/>
          <w:szCs w:val="22"/>
        </w:rPr>
      </w:pPr>
    </w:p>
    <w:tbl>
      <w:tblPr>
        <w:tblW w:w="9992" w:type="dxa"/>
        <w:tblCellMar>
          <w:left w:w="0" w:type="dxa"/>
          <w:right w:w="0" w:type="dxa"/>
        </w:tblCellMar>
        <w:tblLook w:val="04A0" w:firstRow="1" w:lastRow="0" w:firstColumn="1" w:lastColumn="0" w:noHBand="0" w:noVBand="1"/>
      </w:tblPr>
      <w:tblGrid>
        <w:gridCol w:w="9992"/>
      </w:tblGrid>
      <w:tr w:rsidR="00323090" w:rsidRPr="00B20A7A" w:rsidTr="00920EEC">
        <w:tc>
          <w:tcPr>
            <w:tcW w:w="9992" w:type="dxa"/>
          </w:tcPr>
          <w:tbl>
            <w:tblPr>
              <w:tblW w:w="9852" w:type="dxa"/>
              <w:tblCellMar>
                <w:left w:w="0" w:type="dxa"/>
                <w:right w:w="0" w:type="dxa"/>
              </w:tblCellMar>
              <w:tblLook w:val="04A0" w:firstRow="1" w:lastRow="0" w:firstColumn="1" w:lastColumn="0" w:noHBand="0" w:noVBand="1"/>
            </w:tblPr>
            <w:tblGrid>
              <w:gridCol w:w="586"/>
              <w:gridCol w:w="9266"/>
            </w:tblGrid>
            <w:tr w:rsidR="00323090" w:rsidRPr="00B20A7A" w:rsidTr="00D931F6">
              <w:tc>
                <w:tcPr>
                  <w:tcW w:w="586" w:type="dxa"/>
                  <w:tcMar>
                    <w:top w:w="0" w:type="dxa"/>
                    <w:left w:w="70" w:type="dxa"/>
                    <w:bottom w:w="0" w:type="dxa"/>
                    <w:right w:w="70" w:type="dxa"/>
                  </w:tcMar>
                  <w:hideMark/>
                </w:tcPr>
                <w:p w:rsidR="00920EEC" w:rsidRPr="00B20A7A" w:rsidRDefault="00920EEC" w:rsidP="00920EEC">
                  <w:pPr>
                    <w:shd w:val="clear" w:color="auto" w:fill="FFFFFF"/>
                    <w:spacing w:line="252" w:lineRule="auto"/>
                    <w:rPr>
                      <w:rFonts w:cs="Arial"/>
                      <w:b/>
                      <w:bCs/>
                      <w:sz w:val="18"/>
                      <w:szCs w:val="18"/>
                      <w:lang w:eastAsia="en-US"/>
                    </w:rPr>
                  </w:pPr>
                  <w:r w:rsidRPr="00B20A7A">
                    <w:rPr>
                      <w:rFonts w:cs="Arial"/>
                      <w:b/>
                      <w:bCs/>
                      <w:sz w:val="18"/>
                      <w:szCs w:val="18"/>
                      <w:lang w:eastAsia="en-US"/>
                    </w:rPr>
                    <w:t>1.1</w:t>
                  </w:r>
                </w:p>
              </w:tc>
              <w:tc>
                <w:tcPr>
                  <w:tcW w:w="9266" w:type="dxa"/>
                  <w:tcMar>
                    <w:top w:w="0" w:type="dxa"/>
                    <w:left w:w="70" w:type="dxa"/>
                    <w:bottom w:w="0" w:type="dxa"/>
                    <w:right w:w="70" w:type="dxa"/>
                  </w:tcMar>
                  <w:hideMark/>
                </w:tcPr>
                <w:p w:rsidR="00920EEC" w:rsidRPr="00B20A7A" w:rsidRDefault="00920EEC" w:rsidP="00920EEC">
                  <w:pPr>
                    <w:shd w:val="clear" w:color="auto" w:fill="FFFFFF"/>
                    <w:spacing w:line="252" w:lineRule="auto"/>
                    <w:ind w:left="-70"/>
                    <w:rPr>
                      <w:rFonts w:cs="Arial"/>
                      <w:sz w:val="18"/>
                      <w:szCs w:val="18"/>
                      <w:lang w:eastAsia="en-US"/>
                    </w:rPr>
                  </w:pPr>
                  <w:r w:rsidRPr="00B20A7A">
                    <w:rPr>
                      <w:rFonts w:cs="Arial"/>
                      <w:sz w:val="18"/>
                      <w:szCs w:val="18"/>
                      <w:lang w:eastAsia="en-US"/>
                    </w:rPr>
                    <w:t>Die neu eingehenden Verfahren nach dem Gesetz über den Stabilisierungs- und Restrukturierungsrahmen für Unternehmen (</w:t>
                  </w:r>
                  <w:proofErr w:type="spellStart"/>
                  <w:r w:rsidRPr="00B20A7A">
                    <w:rPr>
                      <w:rFonts w:cs="Arial"/>
                      <w:sz w:val="18"/>
                      <w:szCs w:val="18"/>
                      <w:lang w:eastAsia="en-US"/>
                    </w:rPr>
                    <w:t>StaRUG</w:t>
                  </w:r>
                  <w:proofErr w:type="spellEnd"/>
                  <w:r w:rsidRPr="00B20A7A">
                    <w:rPr>
                      <w:rFonts w:cs="Arial"/>
                      <w:sz w:val="18"/>
                      <w:szCs w:val="18"/>
                      <w:lang w:eastAsia="en-US"/>
                    </w:rPr>
                    <w:t xml:space="preserve">) werden der Eingangsgeschäftsstelle (Abt. 950) vorgelegt. </w:t>
                  </w:r>
                </w:p>
              </w:tc>
            </w:tr>
            <w:tr w:rsidR="00323090" w:rsidRPr="00B20A7A" w:rsidTr="00D931F6">
              <w:tc>
                <w:tcPr>
                  <w:tcW w:w="586" w:type="dxa"/>
                  <w:tcMar>
                    <w:top w:w="0" w:type="dxa"/>
                    <w:left w:w="70" w:type="dxa"/>
                    <w:bottom w:w="0" w:type="dxa"/>
                    <w:right w:w="70" w:type="dxa"/>
                  </w:tcMar>
                </w:tcPr>
                <w:p w:rsidR="00920EEC" w:rsidRPr="00B20A7A" w:rsidRDefault="00920EEC" w:rsidP="00920EEC">
                  <w:pPr>
                    <w:shd w:val="clear" w:color="auto" w:fill="FFFFFF"/>
                    <w:spacing w:line="252" w:lineRule="auto"/>
                    <w:rPr>
                      <w:rFonts w:cs="Arial"/>
                      <w:b/>
                      <w:bCs/>
                      <w:sz w:val="12"/>
                      <w:szCs w:val="12"/>
                      <w:lang w:eastAsia="en-US"/>
                    </w:rPr>
                  </w:pPr>
                </w:p>
              </w:tc>
              <w:tc>
                <w:tcPr>
                  <w:tcW w:w="9266" w:type="dxa"/>
                  <w:tcMar>
                    <w:top w:w="0" w:type="dxa"/>
                    <w:left w:w="70" w:type="dxa"/>
                    <w:bottom w:w="0" w:type="dxa"/>
                    <w:right w:w="70" w:type="dxa"/>
                  </w:tcMar>
                </w:tcPr>
                <w:p w:rsidR="00920EEC" w:rsidRPr="00B20A7A" w:rsidRDefault="00920EEC" w:rsidP="00920EEC">
                  <w:pPr>
                    <w:pStyle w:val="Textkrper2"/>
                    <w:shd w:val="clear" w:color="auto" w:fill="FFFFFF"/>
                    <w:spacing w:line="252" w:lineRule="auto"/>
                    <w:ind w:left="-70"/>
                    <w:rPr>
                      <w:rFonts w:ascii="Arial" w:hAnsi="Arial" w:cs="Arial"/>
                      <w:sz w:val="12"/>
                      <w:szCs w:val="12"/>
                      <w:lang w:eastAsia="en-US"/>
                    </w:rPr>
                  </w:pPr>
                </w:p>
              </w:tc>
            </w:tr>
            <w:tr w:rsidR="00323090" w:rsidRPr="00B20A7A" w:rsidTr="00D931F6">
              <w:tc>
                <w:tcPr>
                  <w:tcW w:w="586" w:type="dxa"/>
                  <w:tcMar>
                    <w:top w:w="0" w:type="dxa"/>
                    <w:left w:w="70" w:type="dxa"/>
                    <w:bottom w:w="0" w:type="dxa"/>
                    <w:right w:w="70" w:type="dxa"/>
                  </w:tcMar>
                  <w:hideMark/>
                </w:tcPr>
                <w:p w:rsidR="00920EEC" w:rsidRPr="00B20A7A" w:rsidRDefault="00920EEC" w:rsidP="00920EEC">
                  <w:pPr>
                    <w:shd w:val="clear" w:color="auto" w:fill="FFFFFF"/>
                    <w:spacing w:line="252" w:lineRule="auto"/>
                    <w:rPr>
                      <w:rFonts w:cs="Arial"/>
                      <w:b/>
                      <w:bCs/>
                      <w:sz w:val="18"/>
                      <w:szCs w:val="18"/>
                      <w:lang w:eastAsia="en-US"/>
                    </w:rPr>
                  </w:pPr>
                  <w:r w:rsidRPr="00B20A7A">
                    <w:rPr>
                      <w:rFonts w:cs="Arial"/>
                      <w:b/>
                      <w:bCs/>
                      <w:sz w:val="18"/>
                      <w:szCs w:val="18"/>
                      <w:lang w:eastAsia="en-US"/>
                    </w:rPr>
                    <w:t>1.2</w:t>
                  </w:r>
                </w:p>
              </w:tc>
              <w:tc>
                <w:tcPr>
                  <w:tcW w:w="9266" w:type="dxa"/>
                  <w:tcMar>
                    <w:top w:w="0" w:type="dxa"/>
                    <w:left w:w="70" w:type="dxa"/>
                    <w:bottom w:w="0" w:type="dxa"/>
                    <w:right w:w="70" w:type="dxa"/>
                  </w:tcMar>
                </w:tcPr>
                <w:p w:rsidR="00920EEC" w:rsidRPr="00B20A7A" w:rsidRDefault="00920EEC" w:rsidP="00920EEC">
                  <w:pPr>
                    <w:pStyle w:val="Textkrper2"/>
                    <w:shd w:val="clear" w:color="auto" w:fill="FFFFFF"/>
                    <w:spacing w:line="252" w:lineRule="auto"/>
                    <w:ind w:left="-70"/>
                    <w:rPr>
                      <w:rFonts w:ascii="Arial" w:hAnsi="Arial" w:cs="Arial"/>
                      <w:sz w:val="18"/>
                      <w:szCs w:val="18"/>
                      <w:lang w:eastAsia="en-US"/>
                    </w:rPr>
                  </w:pPr>
                  <w:r w:rsidRPr="00B20A7A">
                    <w:rPr>
                      <w:rFonts w:ascii="Arial" w:hAnsi="Arial" w:cs="Arial"/>
                      <w:sz w:val="18"/>
                      <w:szCs w:val="18"/>
                      <w:lang w:eastAsia="en-US"/>
                    </w:rPr>
                    <w:t>Die Eingangsgeschäftsstelle prüft, ob bei dem Amtsgericht Hannover - Restrukturierungsgericht - bereits Verfahren anhängig sind (oder waren), die denselben Schuldner oder einen mit diesem wirtschaftlich verflochtenen Schuldner betreffen.</w:t>
                  </w:r>
                </w:p>
                <w:p w:rsidR="00920EEC" w:rsidRPr="00B20A7A" w:rsidRDefault="00920EEC" w:rsidP="00920EEC">
                  <w:pPr>
                    <w:shd w:val="clear" w:color="auto" w:fill="FFFFFF"/>
                    <w:spacing w:line="252" w:lineRule="auto"/>
                    <w:ind w:left="-70"/>
                    <w:rPr>
                      <w:rFonts w:cs="Arial"/>
                      <w:sz w:val="18"/>
                      <w:szCs w:val="18"/>
                      <w:lang w:eastAsia="en-US"/>
                    </w:rPr>
                  </w:pPr>
                  <w:r w:rsidRPr="00B20A7A">
                    <w:rPr>
                      <w:rFonts w:cs="Arial"/>
                      <w:sz w:val="18"/>
                      <w:szCs w:val="18"/>
                      <w:lang w:eastAsia="en-US"/>
                    </w:rPr>
                    <w:t>Ist bzw. war bereits ein solches Verfahren anhängig, wird das neue Verfahren - abweichend von der nachfolgenden Turnusregelung - in der Abteilung eingetragen, in der das frühere Verfahren anhängig ist bzw. war.</w:t>
                  </w:r>
                </w:p>
                <w:p w:rsidR="00920EEC" w:rsidRPr="00B20A7A" w:rsidRDefault="00920EEC" w:rsidP="00920EEC">
                  <w:pPr>
                    <w:shd w:val="clear" w:color="auto" w:fill="FFFFFF"/>
                    <w:spacing w:line="252" w:lineRule="auto"/>
                    <w:ind w:left="-70"/>
                    <w:rPr>
                      <w:rFonts w:cs="Arial"/>
                      <w:sz w:val="18"/>
                      <w:szCs w:val="18"/>
                      <w:lang w:eastAsia="en-US"/>
                    </w:rPr>
                  </w:pPr>
                  <w:r w:rsidRPr="00B20A7A">
                    <w:rPr>
                      <w:rFonts w:cs="Arial"/>
                      <w:sz w:val="18"/>
                      <w:szCs w:val="18"/>
                      <w:lang w:eastAsia="en-US"/>
                    </w:rPr>
                    <w:t>Sind bzw. waren mehrere Verfahren anhängig, ist die Abteilung zuständig, in der das älteste Verfahren eingetragen ist.</w:t>
                  </w:r>
                </w:p>
              </w:tc>
            </w:tr>
          </w:tbl>
          <w:p w:rsidR="00920EEC" w:rsidRPr="00B20A7A" w:rsidRDefault="00920EEC" w:rsidP="00920EEC">
            <w:pPr>
              <w:rPr>
                <w:rFonts w:cs="Arial"/>
                <w:sz w:val="20"/>
              </w:rPr>
            </w:pPr>
          </w:p>
        </w:tc>
      </w:tr>
      <w:tr w:rsidR="00920EEC" w:rsidRPr="00B20A7A" w:rsidTr="00920EEC">
        <w:tc>
          <w:tcPr>
            <w:tcW w:w="9992" w:type="dxa"/>
          </w:tcPr>
          <w:tbl>
            <w:tblPr>
              <w:tblW w:w="0" w:type="auto"/>
              <w:tblCellMar>
                <w:left w:w="0" w:type="dxa"/>
                <w:right w:w="0" w:type="dxa"/>
              </w:tblCellMar>
              <w:tblLook w:val="04A0" w:firstRow="1" w:lastRow="0" w:firstColumn="1" w:lastColumn="0" w:noHBand="0" w:noVBand="1"/>
            </w:tblPr>
            <w:tblGrid>
              <w:gridCol w:w="586"/>
              <w:gridCol w:w="9254"/>
            </w:tblGrid>
            <w:tr w:rsidR="00323090" w:rsidRPr="00B20A7A" w:rsidTr="00D931F6">
              <w:tc>
                <w:tcPr>
                  <w:tcW w:w="586" w:type="dxa"/>
                  <w:tcMar>
                    <w:top w:w="0" w:type="dxa"/>
                    <w:left w:w="70" w:type="dxa"/>
                    <w:bottom w:w="0" w:type="dxa"/>
                    <w:right w:w="70" w:type="dxa"/>
                  </w:tcMar>
                </w:tcPr>
                <w:p w:rsidR="00920EEC" w:rsidRPr="00B20A7A" w:rsidRDefault="00920EEC" w:rsidP="00920EEC">
                  <w:pPr>
                    <w:pStyle w:val="pb"/>
                    <w:shd w:val="clear" w:color="auto" w:fill="FFFFFF"/>
                    <w:spacing w:line="252" w:lineRule="auto"/>
                    <w:rPr>
                      <w:rFonts w:cs="Arial"/>
                      <w:b/>
                      <w:bCs/>
                      <w:sz w:val="12"/>
                      <w:szCs w:val="12"/>
                      <w:lang w:eastAsia="en-US"/>
                    </w:rPr>
                  </w:pPr>
                </w:p>
              </w:tc>
              <w:tc>
                <w:tcPr>
                  <w:tcW w:w="9254" w:type="dxa"/>
                  <w:tcMar>
                    <w:top w:w="0" w:type="dxa"/>
                    <w:left w:w="70" w:type="dxa"/>
                    <w:bottom w:w="0" w:type="dxa"/>
                    <w:right w:w="70" w:type="dxa"/>
                  </w:tcMar>
                </w:tcPr>
                <w:p w:rsidR="00920EEC" w:rsidRPr="00B20A7A" w:rsidRDefault="00920EEC" w:rsidP="00920EEC">
                  <w:pPr>
                    <w:spacing w:line="252" w:lineRule="auto"/>
                    <w:rPr>
                      <w:rFonts w:cs="Arial"/>
                      <w:sz w:val="12"/>
                      <w:szCs w:val="12"/>
                      <w:lang w:eastAsia="en-US"/>
                    </w:rPr>
                  </w:pPr>
                </w:p>
              </w:tc>
            </w:tr>
            <w:tr w:rsidR="00323090" w:rsidRPr="00B20A7A" w:rsidTr="00D931F6">
              <w:tc>
                <w:tcPr>
                  <w:tcW w:w="586" w:type="dxa"/>
                  <w:tcMar>
                    <w:top w:w="0" w:type="dxa"/>
                    <w:left w:w="70" w:type="dxa"/>
                    <w:bottom w:w="0" w:type="dxa"/>
                    <w:right w:w="70" w:type="dxa"/>
                  </w:tcMar>
                  <w:hideMark/>
                </w:tcPr>
                <w:p w:rsidR="00920EEC" w:rsidRPr="00B20A7A" w:rsidRDefault="00920EEC" w:rsidP="00920EEC">
                  <w:pPr>
                    <w:pStyle w:val="pb"/>
                    <w:shd w:val="clear" w:color="auto" w:fill="FFFFFF"/>
                    <w:spacing w:line="252" w:lineRule="auto"/>
                    <w:rPr>
                      <w:rFonts w:cs="Arial"/>
                      <w:b/>
                      <w:bCs/>
                      <w:sz w:val="18"/>
                      <w:szCs w:val="18"/>
                      <w:lang w:eastAsia="en-US"/>
                    </w:rPr>
                  </w:pPr>
                  <w:r w:rsidRPr="00B20A7A">
                    <w:rPr>
                      <w:rFonts w:cs="Arial"/>
                      <w:b/>
                      <w:bCs/>
                      <w:sz w:val="18"/>
                      <w:szCs w:val="18"/>
                      <w:lang w:eastAsia="en-US"/>
                    </w:rPr>
                    <w:t>1.3</w:t>
                  </w:r>
                </w:p>
              </w:tc>
              <w:tc>
                <w:tcPr>
                  <w:tcW w:w="9254" w:type="dxa"/>
                  <w:tcMar>
                    <w:top w:w="0" w:type="dxa"/>
                    <w:left w:w="70" w:type="dxa"/>
                    <w:bottom w:w="0" w:type="dxa"/>
                    <w:right w:w="70" w:type="dxa"/>
                  </w:tcMar>
                </w:tcPr>
                <w:p w:rsidR="00920EEC" w:rsidRPr="00B20A7A" w:rsidRDefault="00920EEC" w:rsidP="00920EEC">
                  <w:pPr>
                    <w:spacing w:line="252" w:lineRule="auto"/>
                    <w:ind w:left="-66" w:hanging="1"/>
                    <w:rPr>
                      <w:rFonts w:cs="Arial"/>
                      <w:sz w:val="18"/>
                      <w:szCs w:val="18"/>
                      <w:lang w:eastAsia="en-US"/>
                    </w:rPr>
                  </w:pPr>
                  <w:r w:rsidRPr="00B20A7A">
                    <w:rPr>
                      <w:rFonts w:cs="Arial"/>
                      <w:sz w:val="18"/>
                      <w:szCs w:val="18"/>
                      <w:lang w:eastAsia="en-US"/>
                    </w:rPr>
                    <w:t>Nach Prüfung zu Ziffer 1.2 teilt die Eingangsgeschäftsstelle (Abt. 950) die Verfahren in der Reihenfolge ihres Eingangs den Abteilungen 951 bis 954 zu, wobei 3 Turnuskreise gebildet werden.</w:t>
                  </w:r>
                </w:p>
                <w:p w:rsidR="00920EEC" w:rsidRPr="00B20A7A" w:rsidRDefault="00920EEC" w:rsidP="00920EEC">
                  <w:pPr>
                    <w:shd w:val="clear" w:color="auto" w:fill="FFFFFF"/>
                    <w:spacing w:line="252" w:lineRule="auto"/>
                    <w:ind w:left="-66" w:hanging="1"/>
                    <w:rPr>
                      <w:rFonts w:cs="Arial"/>
                      <w:sz w:val="18"/>
                      <w:szCs w:val="18"/>
                      <w:lang w:eastAsia="en-US"/>
                    </w:rPr>
                  </w:pPr>
                </w:p>
                <w:p w:rsidR="00920EEC" w:rsidRPr="00B20A7A" w:rsidRDefault="00920EEC" w:rsidP="00920EEC">
                  <w:pPr>
                    <w:shd w:val="clear" w:color="auto" w:fill="FFFFFF"/>
                    <w:spacing w:line="252" w:lineRule="auto"/>
                    <w:ind w:left="-70"/>
                    <w:rPr>
                      <w:rFonts w:cs="Arial"/>
                      <w:sz w:val="18"/>
                      <w:szCs w:val="18"/>
                      <w:lang w:eastAsia="en-US"/>
                    </w:rPr>
                  </w:pPr>
                  <w:r w:rsidRPr="00B20A7A">
                    <w:rPr>
                      <w:rFonts w:cs="Arial"/>
                      <w:sz w:val="18"/>
                      <w:szCs w:val="18"/>
                      <w:lang w:eastAsia="en-US"/>
                    </w:rPr>
                    <w:t>Turnuskreis 1: Restrukturierungssachen (RES)</w:t>
                  </w:r>
                </w:p>
                <w:p w:rsidR="00920EEC" w:rsidRPr="00B20A7A" w:rsidRDefault="00920EEC" w:rsidP="00920EEC">
                  <w:pPr>
                    <w:shd w:val="clear" w:color="auto" w:fill="FFFFFF"/>
                    <w:spacing w:line="252" w:lineRule="auto"/>
                    <w:ind w:left="-70"/>
                    <w:rPr>
                      <w:rFonts w:cs="Arial"/>
                      <w:sz w:val="18"/>
                      <w:szCs w:val="18"/>
                      <w:lang w:eastAsia="en-US"/>
                    </w:rPr>
                  </w:pPr>
                  <w:r w:rsidRPr="00B20A7A">
                    <w:rPr>
                      <w:rFonts w:cs="Arial"/>
                      <w:sz w:val="18"/>
                      <w:szCs w:val="18"/>
                      <w:lang w:eastAsia="en-US"/>
                    </w:rPr>
                    <w:t>Turnuskreis 2: Sanierungsmoderationssachen (SAN)</w:t>
                  </w:r>
                </w:p>
                <w:p w:rsidR="00920EEC" w:rsidRPr="00B20A7A" w:rsidRDefault="00920EEC" w:rsidP="00920EEC">
                  <w:pPr>
                    <w:shd w:val="clear" w:color="auto" w:fill="FFFFFF"/>
                    <w:spacing w:line="252" w:lineRule="auto"/>
                    <w:ind w:left="-70"/>
                    <w:rPr>
                      <w:rFonts w:cs="Arial"/>
                      <w:sz w:val="18"/>
                      <w:szCs w:val="18"/>
                      <w:lang w:eastAsia="en-US"/>
                    </w:rPr>
                  </w:pPr>
                  <w:r w:rsidRPr="00B20A7A">
                    <w:rPr>
                      <w:rFonts w:cs="Arial"/>
                      <w:sz w:val="18"/>
                      <w:szCs w:val="18"/>
                      <w:lang w:eastAsia="en-US"/>
                    </w:rPr>
                    <w:t>Turnuskreis 3: AR-Sachen, die sich auf die zu den Turnuskreisen 1 bis 2 genannten Verfahren beziehen (AR)</w:t>
                  </w:r>
                </w:p>
              </w:tc>
            </w:tr>
            <w:tr w:rsidR="00323090" w:rsidRPr="00B20A7A" w:rsidTr="00D931F6">
              <w:tc>
                <w:tcPr>
                  <w:tcW w:w="586" w:type="dxa"/>
                  <w:tcMar>
                    <w:top w:w="0" w:type="dxa"/>
                    <w:left w:w="70" w:type="dxa"/>
                    <w:bottom w:w="0" w:type="dxa"/>
                    <w:right w:w="70" w:type="dxa"/>
                  </w:tcMar>
                </w:tcPr>
                <w:p w:rsidR="00920EEC" w:rsidRPr="00B20A7A" w:rsidRDefault="00920EEC" w:rsidP="00920EEC">
                  <w:pPr>
                    <w:pStyle w:val="pb"/>
                    <w:shd w:val="clear" w:color="auto" w:fill="FFFFFF"/>
                    <w:spacing w:line="252" w:lineRule="auto"/>
                    <w:rPr>
                      <w:rFonts w:cs="Arial"/>
                      <w:b/>
                      <w:bCs/>
                      <w:sz w:val="12"/>
                      <w:szCs w:val="12"/>
                      <w:lang w:eastAsia="en-US"/>
                    </w:rPr>
                  </w:pPr>
                </w:p>
              </w:tc>
              <w:tc>
                <w:tcPr>
                  <w:tcW w:w="9254" w:type="dxa"/>
                  <w:tcMar>
                    <w:top w:w="0" w:type="dxa"/>
                    <w:left w:w="70" w:type="dxa"/>
                    <w:bottom w:w="0" w:type="dxa"/>
                    <w:right w:w="70" w:type="dxa"/>
                  </w:tcMar>
                </w:tcPr>
                <w:p w:rsidR="00920EEC" w:rsidRPr="00B20A7A" w:rsidRDefault="00920EEC" w:rsidP="00920EEC">
                  <w:pPr>
                    <w:shd w:val="clear" w:color="auto" w:fill="FFFFFF"/>
                    <w:spacing w:line="252" w:lineRule="auto"/>
                    <w:ind w:left="-70"/>
                    <w:rPr>
                      <w:rFonts w:cs="Arial"/>
                      <w:sz w:val="12"/>
                      <w:szCs w:val="12"/>
                      <w:lang w:eastAsia="en-US"/>
                    </w:rPr>
                  </w:pPr>
                </w:p>
              </w:tc>
            </w:tr>
            <w:tr w:rsidR="00323090" w:rsidRPr="00B20A7A" w:rsidTr="00D931F6">
              <w:tc>
                <w:tcPr>
                  <w:tcW w:w="586" w:type="dxa"/>
                  <w:tcMar>
                    <w:top w:w="0" w:type="dxa"/>
                    <w:left w:w="70" w:type="dxa"/>
                    <w:bottom w:w="0" w:type="dxa"/>
                    <w:right w:w="70" w:type="dxa"/>
                  </w:tcMar>
                  <w:hideMark/>
                </w:tcPr>
                <w:p w:rsidR="00920EEC" w:rsidRPr="00B20A7A" w:rsidRDefault="00920EEC" w:rsidP="00920EEC">
                  <w:pPr>
                    <w:pStyle w:val="pb"/>
                    <w:shd w:val="clear" w:color="auto" w:fill="FFFFFF"/>
                    <w:spacing w:line="252" w:lineRule="auto"/>
                    <w:rPr>
                      <w:rFonts w:cs="Arial"/>
                      <w:b/>
                      <w:bCs/>
                      <w:sz w:val="18"/>
                      <w:szCs w:val="18"/>
                      <w:lang w:eastAsia="en-US"/>
                    </w:rPr>
                  </w:pPr>
                  <w:r w:rsidRPr="00B20A7A">
                    <w:rPr>
                      <w:rFonts w:cs="Arial"/>
                      <w:b/>
                      <w:bCs/>
                      <w:sz w:val="18"/>
                      <w:szCs w:val="18"/>
                      <w:lang w:eastAsia="en-US"/>
                    </w:rPr>
                    <w:t>1.4</w:t>
                  </w:r>
                </w:p>
              </w:tc>
              <w:tc>
                <w:tcPr>
                  <w:tcW w:w="9254" w:type="dxa"/>
                  <w:tcMar>
                    <w:top w:w="0" w:type="dxa"/>
                    <w:left w:w="70" w:type="dxa"/>
                    <w:bottom w:w="0" w:type="dxa"/>
                    <w:right w:w="70" w:type="dxa"/>
                  </w:tcMar>
                  <w:hideMark/>
                </w:tcPr>
                <w:p w:rsidR="00920EEC" w:rsidRPr="00B20A7A" w:rsidRDefault="00920EEC" w:rsidP="00920EEC">
                  <w:pPr>
                    <w:shd w:val="clear" w:color="auto" w:fill="FFFFFF"/>
                    <w:spacing w:line="252" w:lineRule="auto"/>
                    <w:ind w:left="-70"/>
                    <w:rPr>
                      <w:rFonts w:cs="Arial"/>
                      <w:sz w:val="18"/>
                      <w:szCs w:val="18"/>
                      <w:lang w:eastAsia="en-US"/>
                    </w:rPr>
                  </w:pPr>
                  <w:r w:rsidRPr="00B20A7A">
                    <w:rPr>
                      <w:rFonts w:cs="Arial"/>
                      <w:sz w:val="18"/>
                      <w:szCs w:val="18"/>
                      <w:lang w:eastAsia="en-US"/>
                    </w:rPr>
                    <w:t xml:space="preserve">Ist ein Neueingang unter Missachtung von Ziffer 1.2 einer anderen Abteilung zugewiesen worden, so kann die Sache in Anwendung von A.2.1 (ohne Ausgleich) bis zur ersten Entscheidung über einen Antrag auf Inanspruchnahme eines Instruments des Stabilisierungs- und Restrukturierungsrahmens (§ 29 Abs. 2 </w:t>
                  </w:r>
                  <w:proofErr w:type="spellStart"/>
                  <w:r w:rsidRPr="00B20A7A">
                    <w:rPr>
                      <w:rFonts w:cs="Arial"/>
                      <w:sz w:val="18"/>
                      <w:szCs w:val="18"/>
                      <w:lang w:eastAsia="en-US"/>
                    </w:rPr>
                    <w:t>StaRUG</w:t>
                  </w:r>
                  <w:proofErr w:type="spellEnd"/>
                  <w:r w:rsidRPr="00B20A7A">
                    <w:rPr>
                      <w:rFonts w:cs="Arial"/>
                      <w:sz w:val="18"/>
                      <w:szCs w:val="18"/>
                      <w:lang w:eastAsia="en-US"/>
                    </w:rPr>
                    <w:t>) jederzeit an die eigentlich zuständige Abteilung abgegeben bzw. von der eigentlich zuständigen Abteilung übernommen werden.</w:t>
                  </w:r>
                </w:p>
              </w:tc>
            </w:tr>
            <w:tr w:rsidR="00323090" w:rsidRPr="00B20A7A" w:rsidTr="00D931F6">
              <w:tc>
                <w:tcPr>
                  <w:tcW w:w="586" w:type="dxa"/>
                  <w:tcMar>
                    <w:top w:w="0" w:type="dxa"/>
                    <w:left w:w="70" w:type="dxa"/>
                    <w:bottom w:w="0" w:type="dxa"/>
                    <w:right w:w="70" w:type="dxa"/>
                  </w:tcMar>
                </w:tcPr>
                <w:p w:rsidR="00920EEC" w:rsidRPr="00B20A7A" w:rsidRDefault="00920EEC" w:rsidP="00920EEC">
                  <w:pPr>
                    <w:pStyle w:val="pb"/>
                    <w:shd w:val="clear" w:color="auto" w:fill="FFFFFF"/>
                    <w:spacing w:line="252" w:lineRule="auto"/>
                    <w:rPr>
                      <w:rFonts w:cs="Arial"/>
                      <w:b/>
                      <w:bCs/>
                      <w:sz w:val="12"/>
                      <w:szCs w:val="12"/>
                      <w:lang w:eastAsia="en-US"/>
                    </w:rPr>
                  </w:pPr>
                </w:p>
              </w:tc>
              <w:tc>
                <w:tcPr>
                  <w:tcW w:w="9254" w:type="dxa"/>
                  <w:tcMar>
                    <w:top w:w="0" w:type="dxa"/>
                    <w:left w:w="70" w:type="dxa"/>
                    <w:bottom w:w="0" w:type="dxa"/>
                    <w:right w:w="70" w:type="dxa"/>
                  </w:tcMar>
                </w:tcPr>
                <w:p w:rsidR="00920EEC" w:rsidRPr="00B20A7A" w:rsidRDefault="00920EEC" w:rsidP="00920EEC">
                  <w:pPr>
                    <w:shd w:val="clear" w:color="auto" w:fill="FFFFFF"/>
                    <w:spacing w:line="252" w:lineRule="auto"/>
                    <w:ind w:left="-70"/>
                    <w:rPr>
                      <w:rFonts w:cs="Arial"/>
                      <w:sz w:val="12"/>
                      <w:szCs w:val="12"/>
                      <w:lang w:eastAsia="en-US"/>
                    </w:rPr>
                  </w:pPr>
                </w:p>
              </w:tc>
            </w:tr>
            <w:tr w:rsidR="00323090" w:rsidRPr="00B20A7A" w:rsidTr="00D931F6">
              <w:tc>
                <w:tcPr>
                  <w:tcW w:w="586" w:type="dxa"/>
                  <w:tcMar>
                    <w:top w:w="0" w:type="dxa"/>
                    <w:left w:w="70" w:type="dxa"/>
                    <w:bottom w:w="0" w:type="dxa"/>
                    <w:right w:w="70" w:type="dxa"/>
                  </w:tcMar>
                  <w:hideMark/>
                </w:tcPr>
                <w:p w:rsidR="00920EEC" w:rsidRPr="00B20A7A" w:rsidRDefault="00920EEC" w:rsidP="00920EEC">
                  <w:pPr>
                    <w:pStyle w:val="pb"/>
                    <w:shd w:val="clear" w:color="auto" w:fill="FFFFFF"/>
                    <w:spacing w:line="252" w:lineRule="auto"/>
                    <w:rPr>
                      <w:rFonts w:cs="Arial"/>
                      <w:b/>
                      <w:bCs/>
                      <w:sz w:val="18"/>
                      <w:szCs w:val="18"/>
                      <w:lang w:eastAsia="en-US"/>
                    </w:rPr>
                  </w:pPr>
                  <w:r w:rsidRPr="00B20A7A">
                    <w:rPr>
                      <w:rFonts w:cs="Arial"/>
                      <w:b/>
                      <w:bCs/>
                      <w:sz w:val="18"/>
                      <w:szCs w:val="18"/>
                      <w:lang w:eastAsia="en-US"/>
                    </w:rPr>
                    <w:t>1.5</w:t>
                  </w:r>
                </w:p>
              </w:tc>
              <w:tc>
                <w:tcPr>
                  <w:tcW w:w="9254" w:type="dxa"/>
                  <w:tcMar>
                    <w:top w:w="0" w:type="dxa"/>
                    <w:left w:w="70" w:type="dxa"/>
                    <w:bottom w:w="0" w:type="dxa"/>
                    <w:right w:w="70" w:type="dxa"/>
                  </w:tcMar>
                  <w:hideMark/>
                </w:tcPr>
                <w:p w:rsidR="00920EEC" w:rsidRPr="00B20A7A" w:rsidRDefault="00920EEC" w:rsidP="00920EEC">
                  <w:pPr>
                    <w:shd w:val="clear" w:color="auto" w:fill="FFFFFF"/>
                    <w:spacing w:line="252" w:lineRule="auto"/>
                    <w:ind w:left="-70"/>
                    <w:rPr>
                      <w:rFonts w:cs="Arial"/>
                      <w:sz w:val="18"/>
                      <w:szCs w:val="18"/>
                      <w:lang w:eastAsia="en-US"/>
                    </w:rPr>
                  </w:pPr>
                  <w:r w:rsidRPr="00B20A7A">
                    <w:rPr>
                      <w:rFonts w:cs="Arial"/>
                      <w:sz w:val="18"/>
                      <w:szCs w:val="18"/>
                      <w:lang w:eastAsia="en-US"/>
                    </w:rPr>
                    <w:t>Zusätzlich versieht die Eingangsgeschäftsstelle jede einer Abteilung zugewiesene Sache mit einer Ordnungsnummer von 1 bis 0. Wenn ein neues Verfahren gem. Ziffer 1.2 einer Abteilung außerhalb des Turnuslaufs zugewiesen worden ist, erhält es die Ordnungsnummer des maßgeblichen früheren Verfahrens. Sind in einer Abteilung mehrere Richter/innen oder Geschäftsstellenbeamte (Serviceeinheiten) tätig, richtet sich deren Zuständigkeit nach Ordnungsnummern (O-Nr./O-Nrn.).</w:t>
                  </w:r>
                </w:p>
              </w:tc>
            </w:tr>
            <w:tr w:rsidR="00B20A7A" w:rsidRPr="00B20A7A" w:rsidTr="00D931F6">
              <w:tc>
                <w:tcPr>
                  <w:tcW w:w="586" w:type="dxa"/>
                  <w:tcMar>
                    <w:top w:w="0" w:type="dxa"/>
                    <w:left w:w="70" w:type="dxa"/>
                    <w:bottom w:w="0" w:type="dxa"/>
                    <w:right w:w="70" w:type="dxa"/>
                  </w:tcMar>
                </w:tcPr>
                <w:p w:rsidR="00B20A7A" w:rsidRPr="00B20A7A" w:rsidRDefault="00B20A7A" w:rsidP="00920EEC">
                  <w:pPr>
                    <w:pStyle w:val="pb"/>
                    <w:shd w:val="clear" w:color="auto" w:fill="FFFFFF"/>
                    <w:spacing w:line="252" w:lineRule="auto"/>
                    <w:rPr>
                      <w:rFonts w:cs="Arial"/>
                      <w:b/>
                      <w:bCs/>
                      <w:sz w:val="12"/>
                      <w:szCs w:val="12"/>
                      <w:lang w:eastAsia="en-US"/>
                    </w:rPr>
                  </w:pPr>
                </w:p>
              </w:tc>
              <w:tc>
                <w:tcPr>
                  <w:tcW w:w="9254" w:type="dxa"/>
                  <w:tcMar>
                    <w:top w:w="0" w:type="dxa"/>
                    <w:left w:w="70" w:type="dxa"/>
                    <w:bottom w:w="0" w:type="dxa"/>
                    <w:right w:w="70" w:type="dxa"/>
                  </w:tcMar>
                </w:tcPr>
                <w:p w:rsidR="00B20A7A" w:rsidRPr="00B20A7A" w:rsidRDefault="00B20A7A" w:rsidP="00920EEC">
                  <w:pPr>
                    <w:shd w:val="clear" w:color="auto" w:fill="FFFFFF"/>
                    <w:spacing w:line="252" w:lineRule="auto"/>
                    <w:ind w:left="-70"/>
                    <w:rPr>
                      <w:rFonts w:cs="Arial"/>
                      <w:sz w:val="12"/>
                      <w:szCs w:val="12"/>
                      <w:lang w:eastAsia="en-US"/>
                    </w:rPr>
                  </w:pPr>
                </w:p>
              </w:tc>
            </w:tr>
            <w:tr w:rsidR="00B20A7A" w:rsidRPr="00B20A7A" w:rsidTr="00D931F6">
              <w:tc>
                <w:tcPr>
                  <w:tcW w:w="586" w:type="dxa"/>
                  <w:tcMar>
                    <w:top w:w="0" w:type="dxa"/>
                    <w:left w:w="70" w:type="dxa"/>
                    <w:bottom w:w="0" w:type="dxa"/>
                    <w:right w:w="70" w:type="dxa"/>
                  </w:tcMar>
                </w:tcPr>
                <w:p w:rsidR="00B20A7A" w:rsidRPr="00B20A7A" w:rsidRDefault="00B20A7A" w:rsidP="00920EEC">
                  <w:pPr>
                    <w:pStyle w:val="pb"/>
                    <w:shd w:val="clear" w:color="auto" w:fill="FFFFFF"/>
                    <w:spacing w:line="252" w:lineRule="auto"/>
                    <w:rPr>
                      <w:rFonts w:cs="Arial"/>
                      <w:b/>
                      <w:bCs/>
                      <w:sz w:val="18"/>
                      <w:szCs w:val="18"/>
                      <w:lang w:eastAsia="en-US"/>
                    </w:rPr>
                  </w:pPr>
                  <w:r w:rsidRPr="00B20A7A">
                    <w:rPr>
                      <w:rFonts w:cs="Arial"/>
                      <w:b/>
                      <w:bCs/>
                      <w:sz w:val="18"/>
                      <w:szCs w:val="18"/>
                      <w:lang w:eastAsia="en-US"/>
                    </w:rPr>
                    <w:t>1.6</w:t>
                  </w:r>
                </w:p>
              </w:tc>
              <w:tc>
                <w:tcPr>
                  <w:tcW w:w="9254" w:type="dxa"/>
                  <w:tcMar>
                    <w:top w:w="0" w:type="dxa"/>
                    <w:left w:w="70" w:type="dxa"/>
                    <w:bottom w:w="0" w:type="dxa"/>
                    <w:right w:w="70" w:type="dxa"/>
                  </w:tcMar>
                </w:tcPr>
                <w:p w:rsidR="00B20A7A" w:rsidRPr="00B20A7A" w:rsidRDefault="00B20A7A" w:rsidP="00B20A7A">
                  <w:pPr>
                    <w:ind w:left="-44"/>
                    <w:rPr>
                      <w:rFonts w:cs="Arial"/>
                      <w:sz w:val="18"/>
                      <w:szCs w:val="18"/>
                    </w:rPr>
                  </w:pPr>
                  <w:bookmarkStart w:id="0" w:name="_GoBack"/>
                  <w:r w:rsidRPr="00B20A7A">
                    <w:rPr>
                      <w:rFonts w:cs="Arial"/>
                      <w:sz w:val="18"/>
                      <w:szCs w:val="18"/>
                    </w:rPr>
                    <w:t xml:space="preserve">Für jedes neu eingehende RES- oder SAN-Verfahren im Restrukturierungsgericht erhält der zuständige Restrukturierungsrichter 12 Gutschriften für die nächsten eingehenden IN-Sachen im Insolvenzgericht. </w:t>
                  </w:r>
                </w:p>
                <w:p w:rsidR="00B20A7A" w:rsidRPr="00B20A7A" w:rsidRDefault="00B20A7A" w:rsidP="00B20A7A">
                  <w:pPr>
                    <w:ind w:left="-44"/>
                    <w:rPr>
                      <w:rFonts w:cs="Arial"/>
                      <w:sz w:val="18"/>
                      <w:szCs w:val="18"/>
                    </w:rPr>
                  </w:pPr>
                </w:p>
                <w:p w:rsidR="00B20A7A" w:rsidRPr="00B20A7A" w:rsidRDefault="00B20A7A" w:rsidP="00B20A7A">
                  <w:pPr>
                    <w:ind w:left="-44"/>
                    <w:rPr>
                      <w:rFonts w:cs="Arial"/>
                      <w:sz w:val="18"/>
                      <w:szCs w:val="18"/>
                    </w:rPr>
                  </w:pPr>
                  <w:r w:rsidRPr="00B20A7A">
                    <w:rPr>
                      <w:rFonts w:cs="Arial"/>
                      <w:sz w:val="18"/>
                      <w:szCs w:val="18"/>
                    </w:rPr>
                    <w:t>Soweit ein RES- oder SAN-Verfahren in den Abteilungen 951 oder 953 eingeht, werden die nächsten eingehenden 12 IN-Verfahren in den Abteilungen 903 O-Nrn. 1-0 und 904 O-Nrn. 1 und 2 im Turnus vom Abteilungsrichter der Abteilung 908, der Abteilungsrichterin der Abteilung 907 und der Abteilungsrichterin der Abteilung 902 bearbeitet.</w:t>
                  </w:r>
                </w:p>
                <w:p w:rsidR="00B20A7A" w:rsidRPr="00B20A7A" w:rsidRDefault="00B20A7A" w:rsidP="00B20A7A">
                  <w:pPr>
                    <w:ind w:left="-44"/>
                    <w:rPr>
                      <w:rFonts w:cs="Arial"/>
                      <w:sz w:val="18"/>
                      <w:szCs w:val="18"/>
                    </w:rPr>
                  </w:pPr>
                </w:p>
                <w:p w:rsidR="00B20A7A" w:rsidRPr="00B20A7A" w:rsidRDefault="00B20A7A" w:rsidP="00B20A7A">
                  <w:pPr>
                    <w:ind w:left="-44"/>
                    <w:rPr>
                      <w:rFonts w:cs="Arial"/>
                    </w:rPr>
                  </w:pPr>
                  <w:r w:rsidRPr="00B20A7A">
                    <w:rPr>
                      <w:rFonts w:cs="Arial"/>
                      <w:sz w:val="18"/>
                      <w:szCs w:val="18"/>
                    </w:rPr>
                    <w:t>Soweit ein RES- oder SAN-Verfahren in den Abteilungen 952 oder 954 eingeht, werden die nächsten eingehenden 12 IN-Verfahren in den Abteilungen 908 O-Nrn. 1-0 und 904 O-Nrn. 9 und 0 im Turnus vom Abteilungsrichter der Abteilung 903, der Abteilungsrichterin der Abteilung 907 und der Abteilungsrichterin der Abteilung 902 bearbeitet.</w:t>
                  </w:r>
                  <w:bookmarkEnd w:id="0"/>
                </w:p>
              </w:tc>
            </w:tr>
          </w:tbl>
          <w:p w:rsidR="00920EEC" w:rsidRPr="00B20A7A" w:rsidRDefault="00920EEC" w:rsidP="00920EEC">
            <w:pPr>
              <w:rPr>
                <w:rFonts w:cs="Arial"/>
                <w:sz w:val="20"/>
              </w:rPr>
            </w:pPr>
          </w:p>
        </w:tc>
      </w:tr>
    </w:tbl>
    <w:p w:rsidR="009D7C5A" w:rsidRPr="00B20A7A" w:rsidRDefault="009D7C5A" w:rsidP="009D7C5A">
      <w:pPr>
        <w:pStyle w:val="Kopfzeile"/>
        <w:shd w:val="clear" w:color="auto" w:fill="FFFFFF"/>
        <w:rPr>
          <w:rFonts w:cs="Arial"/>
          <w:sz w:val="22"/>
          <w:szCs w:val="22"/>
        </w:rPr>
      </w:pPr>
    </w:p>
    <w:tbl>
      <w:tblPr>
        <w:tblW w:w="0" w:type="auto"/>
        <w:tblCellMar>
          <w:left w:w="0" w:type="dxa"/>
          <w:right w:w="0" w:type="dxa"/>
        </w:tblCellMar>
        <w:tblLook w:val="04A0" w:firstRow="1" w:lastRow="0" w:firstColumn="1" w:lastColumn="0" w:noHBand="0" w:noVBand="1"/>
      </w:tblPr>
      <w:tblGrid>
        <w:gridCol w:w="595"/>
        <w:gridCol w:w="8477"/>
      </w:tblGrid>
      <w:tr w:rsidR="0044770A" w:rsidRPr="00B20A7A" w:rsidTr="00031135">
        <w:trPr>
          <w:cantSplit/>
        </w:trPr>
        <w:tc>
          <w:tcPr>
            <w:tcW w:w="595" w:type="dxa"/>
            <w:tcMar>
              <w:top w:w="0" w:type="dxa"/>
              <w:left w:w="70" w:type="dxa"/>
              <w:bottom w:w="0" w:type="dxa"/>
              <w:right w:w="70" w:type="dxa"/>
            </w:tcMar>
            <w:hideMark/>
          </w:tcPr>
          <w:p w:rsidR="009D7C5A" w:rsidRPr="00B20A7A" w:rsidRDefault="009D7C5A" w:rsidP="00031135">
            <w:pPr>
              <w:rPr>
                <w:rFonts w:cs="Arial"/>
                <w:b/>
                <w:szCs w:val="24"/>
                <w:lang w:eastAsia="en-US"/>
              </w:rPr>
            </w:pPr>
            <w:r w:rsidRPr="00B20A7A">
              <w:rPr>
                <w:rFonts w:cs="Arial"/>
                <w:b/>
              </w:rPr>
              <w:br w:type="page"/>
            </w:r>
            <w:r w:rsidRPr="00B20A7A">
              <w:rPr>
                <w:rFonts w:cs="Arial"/>
                <w:b/>
              </w:rPr>
              <w:br w:type="page"/>
            </w:r>
            <w:r w:rsidRPr="00B20A7A">
              <w:rPr>
                <w:rFonts w:cs="Arial"/>
                <w:b/>
                <w:lang w:eastAsia="en-US"/>
              </w:rPr>
              <w:t>2.</w:t>
            </w:r>
          </w:p>
        </w:tc>
        <w:tc>
          <w:tcPr>
            <w:tcW w:w="8477" w:type="dxa"/>
            <w:tcMar>
              <w:top w:w="0" w:type="dxa"/>
              <w:left w:w="70" w:type="dxa"/>
              <w:bottom w:w="0" w:type="dxa"/>
              <w:right w:w="70" w:type="dxa"/>
            </w:tcMar>
          </w:tcPr>
          <w:p w:rsidR="009D7C5A" w:rsidRPr="00B20A7A" w:rsidRDefault="009D7C5A" w:rsidP="00031135">
            <w:pPr>
              <w:rPr>
                <w:rFonts w:cs="Arial"/>
                <w:b/>
                <w:u w:val="single"/>
                <w:lang w:eastAsia="en-US"/>
              </w:rPr>
            </w:pPr>
            <w:r w:rsidRPr="00B20A7A">
              <w:rPr>
                <w:rFonts w:cs="Arial"/>
                <w:b/>
                <w:u w:val="single"/>
                <w:lang w:eastAsia="en-US"/>
              </w:rPr>
              <w:t>Verteilung der Geschäfte</w:t>
            </w:r>
          </w:p>
        </w:tc>
      </w:tr>
    </w:tbl>
    <w:p w:rsidR="0044770A" w:rsidRPr="00B20A7A" w:rsidRDefault="0044770A" w:rsidP="009D7C5A">
      <w:pPr>
        <w:pStyle w:val="pb"/>
        <w:shd w:val="clear" w:color="auto" w:fill="FFFFFF"/>
        <w:jc w:val="center"/>
        <w:rPr>
          <w:rFonts w:eastAsiaTheme="minorHAnsi" w:cs="Arial"/>
          <w:sz w:val="18"/>
          <w:szCs w:val="18"/>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09"/>
        <w:gridCol w:w="3265"/>
      </w:tblGrid>
      <w:tr w:rsidR="00004024" w:rsidRPr="00B20A7A" w:rsidTr="003B350D">
        <w:trPr>
          <w:cantSplit/>
        </w:trPr>
        <w:tc>
          <w:tcPr>
            <w:tcW w:w="709" w:type="dxa"/>
            <w:tcBorders>
              <w:top w:val="single" w:sz="4" w:space="0" w:color="auto"/>
              <w:bottom w:val="nil"/>
              <w:right w:val="single" w:sz="4" w:space="0" w:color="auto"/>
            </w:tcBorders>
            <w:tcMar>
              <w:top w:w="0" w:type="dxa"/>
              <w:left w:w="70" w:type="dxa"/>
              <w:bottom w:w="0" w:type="dxa"/>
              <w:right w:w="70" w:type="dxa"/>
            </w:tcMar>
            <w:hideMark/>
          </w:tcPr>
          <w:p w:rsidR="00004024" w:rsidRPr="00B20A7A" w:rsidRDefault="00004024" w:rsidP="0044770A">
            <w:pPr>
              <w:pStyle w:val="berschrift9"/>
              <w:shd w:val="clear" w:color="auto" w:fill="FFFFFF"/>
              <w:spacing w:line="252" w:lineRule="auto"/>
              <w:jc w:val="center"/>
              <w:rPr>
                <w:rFonts w:ascii="Arial" w:hAnsi="Arial" w:cs="Arial"/>
                <w:b/>
                <w:i w:val="0"/>
                <w:iCs w:val="0"/>
                <w:color w:val="auto"/>
                <w:sz w:val="20"/>
                <w:szCs w:val="20"/>
                <w:lang w:eastAsia="en-US"/>
              </w:rPr>
            </w:pPr>
            <w:r w:rsidRPr="00B20A7A">
              <w:rPr>
                <w:rFonts w:ascii="Arial" w:hAnsi="Arial" w:cs="Arial"/>
                <w:b/>
                <w:i w:val="0"/>
                <w:color w:val="auto"/>
                <w:sz w:val="20"/>
                <w:szCs w:val="20"/>
                <w:lang w:eastAsia="en-US"/>
              </w:rPr>
              <w:t>Abt</w:t>
            </w:r>
            <w:r w:rsidRPr="00B20A7A">
              <w:rPr>
                <w:rFonts w:ascii="Arial" w:hAnsi="Arial" w:cs="Arial"/>
                <w:b/>
                <w:color w:val="auto"/>
                <w:sz w:val="20"/>
                <w:szCs w:val="20"/>
                <w:lang w:eastAsia="en-US"/>
              </w:rPr>
              <w:t>.</w:t>
            </w:r>
          </w:p>
        </w:tc>
        <w:tc>
          <w:tcPr>
            <w:tcW w:w="3265" w:type="dxa"/>
            <w:tcBorders>
              <w:top w:val="single" w:sz="4" w:space="0" w:color="auto"/>
              <w:left w:val="single" w:sz="4" w:space="0" w:color="auto"/>
              <w:bottom w:val="nil"/>
            </w:tcBorders>
          </w:tcPr>
          <w:p w:rsidR="00004024" w:rsidRPr="00B20A7A" w:rsidRDefault="00004024" w:rsidP="0044770A">
            <w:pPr>
              <w:pStyle w:val="berschrift9"/>
              <w:shd w:val="clear" w:color="auto" w:fill="FFFFFF"/>
              <w:spacing w:line="252" w:lineRule="auto"/>
              <w:jc w:val="center"/>
              <w:rPr>
                <w:rFonts w:ascii="Arial" w:hAnsi="Arial" w:cs="Arial"/>
                <w:b/>
                <w:i w:val="0"/>
                <w:iCs w:val="0"/>
                <w:color w:val="auto"/>
                <w:sz w:val="20"/>
                <w:szCs w:val="20"/>
                <w:lang w:eastAsia="en-US"/>
              </w:rPr>
            </w:pPr>
            <w:r w:rsidRPr="00B20A7A">
              <w:rPr>
                <w:rFonts w:ascii="Arial" w:hAnsi="Arial" w:cs="Arial"/>
                <w:b/>
                <w:i w:val="0"/>
                <w:iCs w:val="0"/>
                <w:color w:val="auto"/>
                <w:sz w:val="20"/>
                <w:szCs w:val="20"/>
                <w:lang w:eastAsia="en-US"/>
              </w:rPr>
              <w:t>Serviceeinheit</w:t>
            </w:r>
          </w:p>
        </w:tc>
      </w:tr>
      <w:tr w:rsidR="00004024" w:rsidRPr="00B20A7A" w:rsidTr="0044770A">
        <w:trPr>
          <w:cantSplit/>
        </w:trPr>
        <w:tc>
          <w:tcPr>
            <w:tcW w:w="709" w:type="dxa"/>
            <w:tcBorders>
              <w:top w:val="nil"/>
              <w:bottom w:val="single" w:sz="4" w:space="0" w:color="auto"/>
              <w:right w:val="single" w:sz="4" w:space="0" w:color="auto"/>
            </w:tcBorders>
            <w:tcMar>
              <w:top w:w="0" w:type="dxa"/>
              <w:left w:w="70" w:type="dxa"/>
              <w:bottom w:w="0" w:type="dxa"/>
              <w:right w:w="70" w:type="dxa"/>
            </w:tcMar>
          </w:tcPr>
          <w:p w:rsidR="00004024" w:rsidRPr="00B20A7A" w:rsidRDefault="00004024" w:rsidP="0044770A">
            <w:pPr>
              <w:pStyle w:val="berschrift2"/>
              <w:keepNext w:val="0"/>
              <w:shd w:val="clear" w:color="auto" w:fill="FFFFFF"/>
              <w:spacing w:line="252" w:lineRule="auto"/>
              <w:rPr>
                <w:rFonts w:ascii="Arial" w:hAnsi="Arial" w:cs="Arial"/>
                <w:b/>
                <w:color w:val="auto"/>
                <w:sz w:val="8"/>
                <w:szCs w:val="8"/>
                <w:lang w:eastAsia="en-US"/>
              </w:rPr>
            </w:pPr>
          </w:p>
        </w:tc>
        <w:tc>
          <w:tcPr>
            <w:tcW w:w="3265" w:type="dxa"/>
            <w:tcBorders>
              <w:top w:val="nil"/>
              <w:left w:val="single" w:sz="4" w:space="0" w:color="auto"/>
              <w:bottom w:val="single" w:sz="4" w:space="0" w:color="auto"/>
            </w:tcBorders>
          </w:tcPr>
          <w:p w:rsidR="00004024" w:rsidRPr="00B20A7A" w:rsidRDefault="00004024" w:rsidP="0044770A">
            <w:pPr>
              <w:pStyle w:val="berschrift2"/>
              <w:keepNext w:val="0"/>
              <w:shd w:val="clear" w:color="auto" w:fill="FFFFFF"/>
              <w:spacing w:line="252" w:lineRule="auto"/>
              <w:rPr>
                <w:rFonts w:ascii="Arial" w:hAnsi="Arial" w:cs="Arial"/>
                <w:color w:val="auto"/>
                <w:sz w:val="8"/>
                <w:szCs w:val="8"/>
                <w:lang w:eastAsia="en-US"/>
              </w:rPr>
            </w:pPr>
          </w:p>
        </w:tc>
      </w:tr>
      <w:tr w:rsidR="00004024" w:rsidRPr="00B20A7A" w:rsidTr="0044770A">
        <w:trPr>
          <w:cantSplit/>
        </w:trPr>
        <w:tc>
          <w:tcPr>
            <w:tcW w:w="709" w:type="dxa"/>
            <w:tcBorders>
              <w:bottom w:val="nil"/>
              <w:right w:val="single" w:sz="4" w:space="0" w:color="auto"/>
            </w:tcBorders>
            <w:tcMar>
              <w:top w:w="0" w:type="dxa"/>
              <w:left w:w="70" w:type="dxa"/>
              <w:bottom w:w="0" w:type="dxa"/>
              <w:right w:w="70" w:type="dxa"/>
            </w:tcMar>
            <w:hideMark/>
          </w:tcPr>
          <w:p w:rsidR="00004024" w:rsidRPr="00B20A7A" w:rsidRDefault="00004024" w:rsidP="00920EEC">
            <w:pPr>
              <w:shd w:val="clear" w:color="auto" w:fill="FFFFFF"/>
              <w:spacing w:line="252" w:lineRule="auto"/>
              <w:rPr>
                <w:rFonts w:eastAsiaTheme="minorHAnsi" w:cs="Arial"/>
                <w:b/>
                <w:bCs/>
                <w:sz w:val="20"/>
                <w:lang w:eastAsia="en-US"/>
              </w:rPr>
            </w:pPr>
            <w:r w:rsidRPr="00B20A7A">
              <w:rPr>
                <w:rFonts w:cs="Arial"/>
                <w:b/>
                <w:bCs/>
                <w:sz w:val="20"/>
                <w:lang w:eastAsia="en-US"/>
              </w:rPr>
              <w:t>951</w:t>
            </w:r>
          </w:p>
        </w:tc>
        <w:tc>
          <w:tcPr>
            <w:tcW w:w="3265" w:type="dxa"/>
            <w:tcBorders>
              <w:top w:val="nil"/>
              <w:left w:val="single" w:sz="4" w:space="0" w:color="auto"/>
              <w:bottom w:val="nil"/>
            </w:tcBorders>
          </w:tcPr>
          <w:p w:rsidR="00004024" w:rsidRPr="00B20A7A" w:rsidRDefault="00004024" w:rsidP="00920EEC">
            <w:pPr>
              <w:pStyle w:val="berschrift2"/>
              <w:keepNext w:val="0"/>
              <w:shd w:val="clear" w:color="auto" w:fill="FFFFFF"/>
              <w:spacing w:line="252" w:lineRule="auto"/>
              <w:ind w:firstLine="115"/>
              <w:rPr>
                <w:rFonts w:ascii="Arial" w:hAnsi="Arial" w:cs="Arial"/>
                <w:b/>
                <w:color w:val="auto"/>
                <w:sz w:val="18"/>
                <w:szCs w:val="18"/>
                <w:lang w:eastAsia="en-US"/>
              </w:rPr>
            </w:pPr>
          </w:p>
        </w:tc>
      </w:tr>
      <w:tr w:rsidR="00004024" w:rsidRPr="00B20A7A" w:rsidTr="0044770A">
        <w:trPr>
          <w:cantSplit/>
        </w:trPr>
        <w:tc>
          <w:tcPr>
            <w:tcW w:w="709" w:type="dxa"/>
            <w:tcBorders>
              <w:top w:val="nil"/>
              <w:bottom w:val="single" w:sz="4" w:space="0" w:color="auto"/>
              <w:right w:val="single" w:sz="4" w:space="0" w:color="auto"/>
            </w:tcBorders>
            <w:tcMar>
              <w:top w:w="0" w:type="dxa"/>
              <w:left w:w="70" w:type="dxa"/>
              <w:bottom w:w="0" w:type="dxa"/>
              <w:right w:w="70" w:type="dxa"/>
            </w:tcMar>
          </w:tcPr>
          <w:p w:rsidR="00004024" w:rsidRPr="00B20A7A" w:rsidRDefault="00004024" w:rsidP="00920EEC">
            <w:pPr>
              <w:shd w:val="clear" w:color="auto" w:fill="FFFFFF"/>
              <w:spacing w:line="252" w:lineRule="auto"/>
              <w:rPr>
                <w:rFonts w:eastAsiaTheme="minorHAnsi" w:cs="Arial"/>
                <w:b/>
                <w:bCs/>
                <w:sz w:val="20"/>
                <w:lang w:eastAsia="en-US"/>
              </w:rPr>
            </w:pPr>
          </w:p>
        </w:tc>
        <w:tc>
          <w:tcPr>
            <w:tcW w:w="3265" w:type="dxa"/>
            <w:tcBorders>
              <w:top w:val="nil"/>
              <w:left w:val="single" w:sz="4" w:space="0" w:color="auto"/>
              <w:bottom w:val="single" w:sz="4" w:space="0" w:color="auto"/>
            </w:tcBorders>
          </w:tcPr>
          <w:p w:rsidR="00004024" w:rsidRPr="00B20A7A" w:rsidRDefault="00004024" w:rsidP="00920EEC">
            <w:pPr>
              <w:pStyle w:val="berschrift2"/>
              <w:keepNext w:val="0"/>
              <w:shd w:val="clear" w:color="auto" w:fill="FFFFFF"/>
              <w:spacing w:line="252" w:lineRule="auto"/>
              <w:ind w:firstLine="115"/>
              <w:rPr>
                <w:rFonts w:ascii="Arial" w:hAnsi="Arial" w:cs="Arial"/>
                <w:color w:val="auto"/>
                <w:sz w:val="18"/>
                <w:szCs w:val="18"/>
                <w:lang w:eastAsia="en-US"/>
              </w:rPr>
            </w:pPr>
          </w:p>
        </w:tc>
      </w:tr>
      <w:tr w:rsidR="00004024" w:rsidRPr="00B20A7A" w:rsidTr="0044770A">
        <w:trPr>
          <w:cantSplit/>
        </w:trPr>
        <w:tc>
          <w:tcPr>
            <w:tcW w:w="709" w:type="dxa"/>
            <w:tcBorders>
              <w:top w:val="single" w:sz="4" w:space="0" w:color="auto"/>
              <w:bottom w:val="nil"/>
              <w:right w:val="single" w:sz="4" w:space="0" w:color="auto"/>
            </w:tcBorders>
            <w:tcMar>
              <w:top w:w="0" w:type="dxa"/>
              <w:left w:w="70" w:type="dxa"/>
              <w:bottom w:w="0" w:type="dxa"/>
              <w:right w:w="70" w:type="dxa"/>
            </w:tcMar>
            <w:hideMark/>
          </w:tcPr>
          <w:p w:rsidR="00004024" w:rsidRPr="00B20A7A" w:rsidRDefault="00004024" w:rsidP="00920EEC">
            <w:pPr>
              <w:shd w:val="clear" w:color="auto" w:fill="FFFFFF"/>
              <w:spacing w:line="252" w:lineRule="auto"/>
              <w:rPr>
                <w:rFonts w:eastAsiaTheme="minorHAnsi" w:cs="Arial"/>
                <w:b/>
                <w:bCs/>
                <w:sz w:val="20"/>
                <w:lang w:eastAsia="en-US"/>
              </w:rPr>
            </w:pPr>
            <w:r w:rsidRPr="00B20A7A">
              <w:rPr>
                <w:rFonts w:cs="Arial"/>
                <w:b/>
                <w:bCs/>
                <w:sz w:val="20"/>
                <w:lang w:eastAsia="en-US"/>
              </w:rPr>
              <w:t>952</w:t>
            </w:r>
          </w:p>
        </w:tc>
        <w:tc>
          <w:tcPr>
            <w:tcW w:w="3265" w:type="dxa"/>
            <w:tcBorders>
              <w:top w:val="single" w:sz="4" w:space="0" w:color="auto"/>
              <w:left w:val="single" w:sz="4" w:space="0" w:color="auto"/>
              <w:bottom w:val="nil"/>
            </w:tcBorders>
          </w:tcPr>
          <w:p w:rsidR="00004024" w:rsidRPr="00B20A7A" w:rsidRDefault="00004024" w:rsidP="00920EEC">
            <w:pPr>
              <w:pStyle w:val="berschrift2"/>
              <w:keepNext w:val="0"/>
              <w:shd w:val="clear" w:color="auto" w:fill="FFFFFF"/>
              <w:spacing w:line="252" w:lineRule="auto"/>
              <w:ind w:firstLine="115"/>
              <w:rPr>
                <w:rFonts w:ascii="Arial" w:hAnsi="Arial" w:cs="Arial"/>
                <w:b/>
                <w:color w:val="auto"/>
                <w:sz w:val="18"/>
                <w:szCs w:val="18"/>
                <w:lang w:eastAsia="en-US"/>
              </w:rPr>
            </w:pPr>
          </w:p>
        </w:tc>
      </w:tr>
      <w:tr w:rsidR="00004024" w:rsidRPr="00B20A7A" w:rsidTr="0044770A">
        <w:trPr>
          <w:cantSplit/>
        </w:trPr>
        <w:tc>
          <w:tcPr>
            <w:tcW w:w="709" w:type="dxa"/>
            <w:tcBorders>
              <w:top w:val="nil"/>
              <w:bottom w:val="single" w:sz="4" w:space="0" w:color="auto"/>
              <w:right w:val="single" w:sz="4" w:space="0" w:color="auto"/>
            </w:tcBorders>
            <w:tcMar>
              <w:top w:w="0" w:type="dxa"/>
              <w:left w:w="70" w:type="dxa"/>
              <w:bottom w:w="0" w:type="dxa"/>
              <w:right w:w="70" w:type="dxa"/>
            </w:tcMar>
          </w:tcPr>
          <w:p w:rsidR="00004024" w:rsidRPr="00B20A7A" w:rsidRDefault="00004024" w:rsidP="00920EEC">
            <w:pPr>
              <w:shd w:val="clear" w:color="auto" w:fill="FFFFFF"/>
              <w:spacing w:line="252" w:lineRule="auto"/>
              <w:rPr>
                <w:rFonts w:eastAsiaTheme="minorHAnsi" w:cs="Arial"/>
                <w:b/>
                <w:bCs/>
                <w:sz w:val="20"/>
                <w:lang w:eastAsia="en-US"/>
              </w:rPr>
            </w:pPr>
          </w:p>
        </w:tc>
        <w:tc>
          <w:tcPr>
            <w:tcW w:w="3265" w:type="dxa"/>
            <w:tcBorders>
              <w:top w:val="nil"/>
              <w:left w:val="single" w:sz="4" w:space="0" w:color="auto"/>
              <w:bottom w:val="single" w:sz="4" w:space="0" w:color="auto"/>
            </w:tcBorders>
          </w:tcPr>
          <w:p w:rsidR="00004024" w:rsidRPr="00B20A7A" w:rsidRDefault="00004024" w:rsidP="00920EEC">
            <w:pPr>
              <w:pStyle w:val="berschrift2"/>
              <w:keepNext w:val="0"/>
              <w:shd w:val="clear" w:color="auto" w:fill="FFFFFF"/>
              <w:spacing w:line="252" w:lineRule="auto"/>
              <w:ind w:firstLine="115"/>
              <w:rPr>
                <w:rFonts w:ascii="Arial" w:hAnsi="Arial" w:cs="Arial"/>
                <w:color w:val="auto"/>
                <w:sz w:val="18"/>
                <w:szCs w:val="18"/>
                <w:lang w:eastAsia="en-US"/>
              </w:rPr>
            </w:pPr>
          </w:p>
        </w:tc>
      </w:tr>
      <w:tr w:rsidR="00004024" w:rsidRPr="00B20A7A" w:rsidTr="0044770A">
        <w:trPr>
          <w:cantSplit/>
        </w:trPr>
        <w:tc>
          <w:tcPr>
            <w:tcW w:w="709" w:type="dxa"/>
            <w:tcBorders>
              <w:top w:val="single" w:sz="4" w:space="0" w:color="auto"/>
              <w:bottom w:val="nil"/>
              <w:right w:val="single" w:sz="4" w:space="0" w:color="auto"/>
            </w:tcBorders>
            <w:tcMar>
              <w:top w:w="0" w:type="dxa"/>
              <w:left w:w="70" w:type="dxa"/>
              <w:bottom w:w="0" w:type="dxa"/>
              <w:right w:w="70" w:type="dxa"/>
            </w:tcMar>
            <w:hideMark/>
          </w:tcPr>
          <w:p w:rsidR="00004024" w:rsidRPr="00B20A7A" w:rsidRDefault="00004024" w:rsidP="00920EEC">
            <w:pPr>
              <w:shd w:val="clear" w:color="auto" w:fill="FFFFFF"/>
              <w:spacing w:line="252" w:lineRule="auto"/>
              <w:rPr>
                <w:rFonts w:eastAsiaTheme="minorHAnsi" w:cs="Arial"/>
                <w:b/>
                <w:bCs/>
                <w:sz w:val="20"/>
                <w:lang w:eastAsia="en-US"/>
              </w:rPr>
            </w:pPr>
            <w:r w:rsidRPr="00B20A7A">
              <w:rPr>
                <w:rFonts w:cs="Arial"/>
                <w:b/>
                <w:bCs/>
                <w:sz w:val="20"/>
                <w:lang w:eastAsia="en-US"/>
              </w:rPr>
              <w:t>953</w:t>
            </w:r>
          </w:p>
        </w:tc>
        <w:tc>
          <w:tcPr>
            <w:tcW w:w="3265" w:type="dxa"/>
            <w:tcBorders>
              <w:top w:val="single" w:sz="4" w:space="0" w:color="auto"/>
              <w:left w:val="single" w:sz="4" w:space="0" w:color="auto"/>
              <w:bottom w:val="nil"/>
            </w:tcBorders>
          </w:tcPr>
          <w:p w:rsidR="00004024" w:rsidRPr="00B20A7A" w:rsidRDefault="00004024" w:rsidP="00920EEC">
            <w:pPr>
              <w:pStyle w:val="berschrift2"/>
              <w:keepNext w:val="0"/>
              <w:shd w:val="clear" w:color="auto" w:fill="FFFFFF"/>
              <w:spacing w:line="252" w:lineRule="auto"/>
              <w:ind w:firstLine="115"/>
              <w:rPr>
                <w:rFonts w:ascii="Arial" w:hAnsi="Arial" w:cs="Arial"/>
                <w:b/>
                <w:color w:val="auto"/>
                <w:sz w:val="18"/>
                <w:szCs w:val="18"/>
                <w:lang w:eastAsia="en-US"/>
              </w:rPr>
            </w:pPr>
          </w:p>
        </w:tc>
      </w:tr>
      <w:tr w:rsidR="00004024" w:rsidRPr="00B20A7A" w:rsidTr="0044770A">
        <w:trPr>
          <w:cantSplit/>
        </w:trPr>
        <w:tc>
          <w:tcPr>
            <w:tcW w:w="709" w:type="dxa"/>
            <w:tcBorders>
              <w:top w:val="nil"/>
              <w:bottom w:val="single" w:sz="4" w:space="0" w:color="auto"/>
              <w:right w:val="single" w:sz="4" w:space="0" w:color="auto"/>
            </w:tcBorders>
            <w:tcMar>
              <w:top w:w="0" w:type="dxa"/>
              <w:left w:w="70" w:type="dxa"/>
              <w:bottom w:w="0" w:type="dxa"/>
              <w:right w:w="70" w:type="dxa"/>
            </w:tcMar>
          </w:tcPr>
          <w:p w:rsidR="00004024" w:rsidRPr="00B20A7A" w:rsidRDefault="00004024" w:rsidP="00920EEC">
            <w:pPr>
              <w:shd w:val="clear" w:color="auto" w:fill="FFFFFF"/>
              <w:spacing w:line="252" w:lineRule="auto"/>
              <w:rPr>
                <w:rFonts w:eastAsiaTheme="minorHAnsi" w:cs="Arial"/>
                <w:b/>
                <w:bCs/>
                <w:sz w:val="20"/>
                <w:lang w:eastAsia="en-US"/>
              </w:rPr>
            </w:pPr>
          </w:p>
        </w:tc>
        <w:tc>
          <w:tcPr>
            <w:tcW w:w="3265" w:type="dxa"/>
            <w:tcBorders>
              <w:top w:val="nil"/>
              <w:left w:val="single" w:sz="4" w:space="0" w:color="auto"/>
              <w:bottom w:val="single" w:sz="4" w:space="0" w:color="auto"/>
            </w:tcBorders>
          </w:tcPr>
          <w:p w:rsidR="00004024" w:rsidRPr="00B20A7A" w:rsidRDefault="00004024" w:rsidP="00920EEC">
            <w:pPr>
              <w:pStyle w:val="berschrift2"/>
              <w:keepNext w:val="0"/>
              <w:shd w:val="clear" w:color="auto" w:fill="FFFFFF"/>
              <w:spacing w:line="252" w:lineRule="auto"/>
              <w:ind w:firstLine="115"/>
              <w:rPr>
                <w:rFonts w:ascii="Arial" w:hAnsi="Arial" w:cs="Arial"/>
                <w:color w:val="auto"/>
                <w:sz w:val="18"/>
                <w:szCs w:val="18"/>
                <w:lang w:eastAsia="en-US"/>
              </w:rPr>
            </w:pPr>
          </w:p>
        </w:tc>
      </w:tr>
      <w:tr w:rsidR="00004024" w:rsidRPr="00B20A7A" w:rsidTr="0044770A">
        <w:trPr>
          <w:cantSplit/>
        </w:trPr>
        <w:tc>
          <w:tcPr>
            <w:tcW w:w="709" w:type="dxa"/>
            <w:tcBorders>
              <w:top w:val="single" w:sz="4" w:space="0" w:color="auto"/>
              <w:right w:val="single" w:sz="4" w:space="0" w:color="auto"/>
            </w:tcBorders>
            <w:tcMar>
              <w:top w:w="0" w:type="dxa"/>
              <w:left w:w="70" w:type="dxa"/>
              <w:bottom w:w="0" w:type="dxa"/>
              <w:right w:w="70" w:type="dxa"/>
            </w:tcMar>
            <w:hideMark/>
          </w:tcPr>
          <w:p w:rsidR="00004024" w:rsidRPr="00B20A7A" w:rsidRDefault="00004024" w:rsidP="00920EEC">
            <w:pPr>
              <w:shd w:val="clear" w:color="auto" w:fill="FFFFFF"/>
              <w:spacing w:line="252" w:lineRule="auto"/>
              <w:rPr>
                <w:rFonts w:eastAsiaTheme="minorHAnsi" w:cs="Arial"/>
                <w:b/>
                <w:bCs/>
                <w:sz w:val="20"/>
                <w:lang w:eastAsia="en-US"/>
              </w:rPr>
            </w:pPr>
            <w:r w:rsidRPr="00B20A7A">
              <w:rPr>
                <w:rFonts w:cs="Arial"/>
                <w:b/>
                <w:bCs/>
                <w:sz w:val="20"/>
                <w:lang w:eastAsia="en-US"/>
              </w:rPr>
              <w:t>954</w:t>
            </w:r>
          </w:p>
        </w:tc>
        <w:tc>
          <w:tcPr>
            <w:tcW w:w="3265" w:type="dxa"/>
            <w:tcBorders>
              <w:top w:val="single" w:sz="4" w:space="0" w:color="auto"/>
              <w:left w:val="single" w:sz="4" w:space="0" w:color="auto"/>
              <w:bottom w:val="nil"/>
            </w:tcBorders>
          </w:tcPr>
          <w:p w:rsidR="00004024" w:rsidRPr="00B20A7A" w:rsidRDefault="00004024" w:rsidP="00920EEC">
            <w:pPr>
              <w:pStyle w:val="berschrift2"/>
              <w:keepNext w:val="0"/>
              <w:shd w:val="clear" w:color="auto" w:fill="FFFFFF"/>
              <w:spacing w:line="252" w:lineRule="auto"/>
              <w:ind w:firstLine="115"/>
              <w:rPr>
                <w:rFonts w:ascii="Arial" w:hAnsi="Arial" w:cs="Arial"/>
                <w:b/>
                <w:color w:val="auto"/>
                <w:sz w:val="18"/>
                <w:szCs w:val="18"/>
                <w:lang w:eastAsia="en-US"/>
              </w:rPr>
            </w:pPr>
          </w:p>
        </w:tc>
      </w:tr>
      <w:tr w:rsidR="00004024" w:rsidRPr="00B20A7A" w:rsidTr="0044770A">
        <w:trPr>
          <w:cantSplit/>
        </w:trPr>
        <w:tc>
          <w:tcPr>
            <w:tcW w:w="709" w:type="dxa"/>
            <w:tcBorders>
              <w:right w:val="single" w:sz="4" w:space="0" w:color="auto"/>
            </w:tcBorders>
            <w:tcMar>
              <w:top w:w="0" w:type="dxa"/>
              <w:left w:w="70" w:type="dxa"/>
              <w:bottom w:w="0" w:type="dxa"/>
              <w:right w:w="70" w:type="dxa"/>
            </w:tcMar>
          </w:tcPr>
          <w:p w:rsidR="00004024" w:rsidRPr="00B20A7A" w:rsidRDefault="00004024" w:rsidP="00920EEC">
            <w:pPr>
              <w:shd w:val="clear" w:color="auto" w:fill="FFFFFF"/>
              <w:spacing w:line="252" w:lineRule="auto"/>
              <w:rPr>
                <w:rFonts w:eastAsiaTheme="minorHAnsi" w:cs="Arial"/>
                <w:b/>
                <w:bCs/>
                <w:sz w:val="20"/>
                <w:lang w:eastAsia="en-US"/>
              </w:rPr>
            </w:pPr>
          </w:p>
        </w:tc>
        <w:tc>
          <w:tcPr>
            <w:tcW w:w="3265" w:type="dxa"/>
            <w:tcBorders>
              <w:top w:val="nil"/>
              <w:left w:val="single" w:sz="4" w:space="0" w:color="auto"/>
              <w:bottom w:val="single" w:sz="4" w:space="0" w:color="auto"/>
            </w:tcBorders>
          </w:tcPr>
          <w:p w:rsidR="00004024" w:rsidRPr="00B20A7A" w:rsidRDefault="00004024" w:rsidP="00920EEC">
            <w:pPr>
              <w:pStyle w:val="berschrift2"/>
              <w:keepNext w:val="0"/>
              <w:shd w:val="clear" w:color="auto" w:fill="FFFFFF"/>
              <w:spacing w:line="252" w:lineRule="auto"/>
              <w:ind w:firstLine="115"/>
              <w:rPr>
                <w:rFonts w:ascii="Arial" w:hAnsi="Arial" w:cs="Arial"/>
                <w:color w:val="auto"/>
                <w:sz w:val="18"/>
                <w:szCs w:val="18"/>
                <w:lang w:eastAsia="en-US"/>
              </w:rPr>
            </w:pPr>
          </w:p>
        </w:tc>
      </w:tr>
    </w:tbl>
    <w:p w:rsidR="00545D6A" w:rsidRPr="00B20A7A" w:rsidRDefault="00545D6A" w:rsidP="0044770A">
      <w:pPr>
        <w:rPr>
          <w:rFonts w:cs="Arial"/>
          <w:sz w:val="14"/>
          <w:szCs w:val="14"/>
        </w:rPr>
      </w:pPr>
    </w:p>
    <w:p w:rsidR="0039292F" w:rsidRPr="00B20A7A" w:rsidRDefault="0039292F" w:rsidP="0044770A">
      <w:pPr>
        <w:rPr>
          <w:rFonts w:cs="Arial"/>
          <w:sz w:val="14"/>
          <w:szCs w:val="1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964"/>
      </w:tblGrid>
      <w:tr w:rsidR="00323090" w:rsidRPr="00B20A7A" w:rsidTr="00004024">
        <w:tc>
          <w:tcPr>
            <w:tcW w:w="3964" w:type="dxa"/>
            <w:tcBorders>
              <w:bottom w:val="nil"/>
            </w:tcBorders>
          </w:tcPr>
          <w:p w:rsidR="0044770A" w:rsidRPr="00B20A7A" w:rsidRDefault="0044770A" w:rsidP="00031135">
            <w:pPr>
              <w:pStyle w:val="berschrift1"/>
              <w:keepNext w:val="0"/>
              <w:widowControl w:val="0"/>
              <w:shd w:val="clear" w:color="auto" w:fill="FFFFFF"/>
              <w:spacing w:line="240" w:lineRule="auto"/>
              <w:rPr>
                <w:rFonts w:ascii="Arial" w:hAnsi="Arial" w:cs="Arial"/>
                <w:sz w:val="20"/>
              </w:rPr>
            </w:pPr>
            <w:r w:rsidRPr="00B20A7A">
              <w:rPr>
                <w:rFonts w:ascii="Arial" w:hAnsi="Arial" w:cs="Arial"/>
                <w:sz w:val="20"/>
              </w:rPr>
              <w:t>Wachtmeister</w:t>
            </w:r>
          </w:p>
        </w:tc>
      </w:tr>
      <w:tr w:rsidR="0044770A" w:rsidRPr="00B20A7A" w:rsidTr="00004024">
        <w:tc>
          <w:tcPr>
            <w:tcW w:w="3964" w:type="dxa"/>
            <w:tcBorders>
              <w:top w:val="nil"/>
              <w:bottom w:val="single" w:sz="4" w:space="0" w:color="auto"/>
              <w:right w:val="single" w:sz="4" w:space="0" w:color="auto"/>
            </w:tcBorders>
          </w:tcPr>
          <w:p w:rsidR="0044770A" w:rsidRPr="00B20A7A" w:rsidRDefault="0044770A" w:rsidP="00031135">
            <w:pPr>
              <w:widowControl w:val="0"/>
              <w:shd w:val="clear" w:color="auto" w:fill="FFFFFF"/>
              <w:rPr>
                <w:rFonts w:cs="Arial"/>
                <w:sz w:val="18"/>
                <w:szCs w:val="18"/>
              </w:rPr>
            </w:pPr>
            <w:r w:rsidRPr="00B20A7A">
              <w:rPr>
                <w:rFonts w:cs="Arial"/>
                <w:sz w:val="18"/>
                <w:szCs w:val="18"/>
              </w:rPr>
              <w:t>1. Obergeschoss - Hamburger Allee -</w:t>
            </w:r>
          </w:p>
        </w:tc>
      </w:tr>
    </w:tbl>
    <w:p w:rsidR="0044770A" w:rsidRPr="00B20A7A" w:rsidRDefault="0044770A" w:rsidP="009D7C5A">
      <w:pPr>
        <w:rPr>
          <w:rFonts w:cs="Arial"/>
          <w:sz w:val="2"/>
          <w:szCs w:val="2"/>
        </w:rPr>
      </w:pPr>
    </w:p>
    <w:sectPr w:rsidR="0044770A" w:rsidRPr="00B20A7A" w:rsidSect="009D7C5A">
      <w:headerReference w:type="default" r:id="rId6"/>
      <w:footerReference w:type="even" r:id="rId7"/>
      <w:footerReference w:type="default" r:id="rId8"/>
      <w:headerReference w:type="first" r:id="rId9"/>
      <w:footerReference w:type="first" r:id="rId10"/>
      <w:pgSz w:w="11907" w:h="16840" w:code="9"/>
      <w:pgMar w:top="567" w:right="352" w:bottom="567" w:left="1134" w:header="720" w:footer="720" w:gutter="0"/>
      <w:pgNumType w:start="4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307" w:rsidRDefault="00B32307">
      <w:r>
        <w:separator/>
      </w:r>
    </w:p>
  </w:endnote>
  <w:endnote w:type="continuationSeparator" w:id="0">
    <w:p w:rsidR="00B32307" w:rsidRDefault="00B3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F2D" w:rsidRDefault="00ED7F2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56</w:t>
    </w:r>
    <w:r>
      <w:rPr>
        <w:rStyle w:val="Seitenzahl"/>
      </w:rPr>
      <w:fldChar w:fldCharType="end"/>
    </w:r>
  </w:p>
  <w:p w:rsidR="00ED7F2D" w:rsidRDefault="00ED7F2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F2D" w:rsidRDefault="00ED7F2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20A7A">
      <w:rPr>
        <w:rStyle w:val="Seitenzahl"/>
        <w:noProof/>
      </w:rPr>
      <w:t>48</w:t>
    </w:r>
    <w:r>
      <w:rPr>
        <w:rStyle w:val="Seitenzahl"/>
      </w:rPr>
      <w:fldChar w:fldCharType="end"/>
    </w:r>
  </w:p>
  <w:p w:rsidR="00ED7F2D" w:rsidRDefault="00ED7F2D">
    <w:pPr>
      <w:pStyle w:val="Fuzeile"/>
      <w:ind w:right="360"/>
      <w:jc w:val="right"/>
      <w:rPr>
        <w:sz w:val="22"/>
      </w:rPr>
    </w:pPr>
    <w:r>
      <w:rPr>
        <w:sz w:val="17"/>
        <w:u w:val="single"/>
      </w:rPr>
      <w:t>Stand:</w:t>
    </w:r>
    <w:r>
      <w:rPr>
        <w:sz w:val="17"/>
      </w:rPr>
      <w:t xml:space="preserve"> </w:t>
    </w:r>
    <w:r>
      <w:rPr>
        <w:sz w:val="17"/>
      </w:rPr>
      <w:fldChar w:fldCharType="begin"/>
    </w:r>
    <w:r>
      <w:rPr>
        <w:sz w:val="17"/>
      </w:rPr>
      <w:instrText xml:space="preserve"> TIME \@ "dd.MM.yyyy HH:mm" </w:instrText>
    </w:r>
    <w:r>
      <w:rPr>
        <w:sz w:val="17"/>
      </w:rPr>
      <w:fldChar w:fldCharType="separate"/>
    </w:r>
    <w:r w:rsidR="00B20A7A">
      <w:rPr>
        <w:noProof/>
        <w:sz w:val="17"/>
      </w:rPr>
      <w:t>26.04.2023 16:02</w:t>
    </w:r>
    <w:r>
      <w:rPr>
        <w:sz w:val="17"/>
      </w:rPr>
      <w:fldChar w:fldCharType="end"/>
    </w:r>
    <w:r>
      <w:rPr>
        <w:sz w:val="17"/>
      </w:rPr>
      <w:t xml:space="preserve"> Uhr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F2D" w:rsidRPr="00565FF8" w:rsidRDefault="00565FF8" w:rsidP="00565FF8">
    <w:pPr>
      <w:pStyle w:val="Fuzeile"/>
      <w:jc w:val="right"/>
      <w:rPr>
        <w:sz w:val="16"/>
        <w:szCs w:val="16"/>
      </w:rPr>
    </w:pPr>
    <w:r w:rsidRPr="00833F9E">
      <w:rPr>
        <w:rFonts w:cs="Arial"/>
        <w:sz w:val="16"/>
        <w:szCs w:val="16"/>
        <w:u w:val="single"/>
      </w:rPr>
      <w:t>Stand:</w:t>
    </w:r>
    <w:r w:rsidRPr="00833F9E">
      <w:rPr>
        <w:rFonts w:cs="Arial"/>
        <w:sz w:val="16"/>
        <w:szCs w:val="16"/>
      </w:rPr>
      <w:t xml:space="preserve"> </w:t>
    </w:r>
    <w:r>
      <w:rPr>
        <w:rFonts w:cs="Arial"/>
        <w:sz w:val="16"/>
        <w:szCs w:val="16"/>
      </w:rPr>
      <w:fldChar w:fldCharType="begin"/>
    </w:r>
    <w:r>
      <w:rPr>
        <w:rFonts w:cs="Arial"/>
        <w:sz w:val="16"/>
        <w:szCs w:val="16"/>
      </w:rPr>
      <w:instrText xml:space="preserve"> SAVEDATE  \@ "dd.MM.yyyy HH:mm:ss"  \* MERGEFORMAT </w:instrText>
    </w:r>
    <w:r>
      <w:rPr>
        <w:rFonts w:cs="Arial"/>
        <w:sz w:val="16"/>
        <w:szCs w:val="16"/>
      </w:rPr>
      <w:fldChar w:fldCharType="separate"/>
    </w:r>
    <w:r w:rsidR="00B20A7A">
      <w:rPr>
        <w:rFonts w:cs="Arial"/>
        <w:noProof/>
        <w:sz w:val="16"/>
        <w:szCs w:val="16"/>
      </w:rPr>
      <w:t>12.04.2023 12:23:00</w:t>
    </w:r>
    <w:r>
      <w:rPr>
        <w:rFonts w:cs="Arial"/>
        <w:sz w:val="16"/>
        <w:szCs w:val="16"/>
      </w:rPr>
      <w:fldChar w:fldCharType="end"/>
    </w:r>
    <w:r>
      <w:rPr>
        <w:rFonts w:cs="Arial"/>
        <w:sz w:val="16"/>
        <w:szCs w:val="16"/>
      </w:rPr>
      <w:t xml:space="preserve"> </w:t>
    </w:r>
    <w:r w:rsidRPr="00833F9E">
      <w:rPr>
        <w:sz w:val="16"/>
        <w:szCs w:val="16"/>
      </w:rPr>
      <w:t>Uhr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307" w:rsidRDefault="00B32307">
      <w:r>
        <w:separator/>
      </w:r>
    </w:p>
  </w:footnote>
  <w:footnote w:type="continuationSeparator" w:id="0">
    <w:p w:rsidR="00B32307" w:rsidRDefault="00B32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F2D" w:rsidRDefault="00697AA3">
    <w:pPr>
      <w:pStyle w:val="Kopfzeile"/>
      <w:jc w:val="center"/>
      <w:rPr>
        <w:b/>
      </w:rPr>
    </w:pPr>
    <w:r>
      <w:rPr>
        <w:b/>
        <w:noProof/>
      </w:rPr>
      <mc:AlternateContent>
        <mc:Choice Requires="wps">
          <w:drawing>
            <wp:anchor distT="0" distB="0" distL="114300" distR="114300" simplePos="0" relativeHeight="251657216" behindDoc="0" locked="0" layoutInCell="0" allowOverlap="1">
              <wp:simplePos x="0" y="0"/>
              <wp:positionH relativeFrom="column">
                <wp:posOffset>4766310</wp:posOffset>
              </wp:positionH>
              <wp:positionV relativeFrom="paragraph">
                <wp:posOffset>-84455</wp:posOffset>
              </wp:positionV>
              <wp:extent cx="1554480" cy="2743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w="9525">
                        <a:solidFill>
                          <a:srgbClr val="FFFFFF"/>
                        </a:solidFill>
                        <a:miter lim="800000"/>
                        <a:headEnd/>
                        <a:tailEnd/>
                      </a:ln>
                    </wps:spPr>
                    <wps:txbx>
                      <w:txbxContent>
                        <w:p w:rsidR="00ED7F2D" w:rsidRDefault="00ED7F2D">
                          <w:r>
                            <w:rPr>
                              <w:b/>
                              <w:shd w:val="pct5" w:color="auto" w:fill="FFFFFF"/>
                            </w:rPr>
                            <w:t>Zivilsachen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3pt;margin-top:-6.65pt;width:122.4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" o:allowincell="f" strokecolor="white">
              <v:textbox>
                <w:txbxContent>
                  <w:p w:rsidR="00ED7F2D" w:rsidRDefault="00ED7F2D">
                    <w:r>
                      <w:rPr>
                        <w:b/>
                        <w:shd w:val="pct5" w:color="auto" w:fill="FFFFFF"/>
                      </w:rPr>
                      <w:t>Zivilsachen   M</w:t>
                    </w:r>
                  </w:p>
                </w:txbxContent>
              </v:textbox>
            </v:shape>
          </w:pict>
        </mc:Fallback>
      </mc:AlternateContent>
    </w:r>
    <w:r w:rsidR="00ED7F2D">
      <w:rPr>
        <w:rStyle w:val="Seitenzahl"/>
        <w:b/>
      </w:rPr>
      <w:t xml:space="preserve">- </w:t>
    </w:r>
    <w:r w:rsidR="00ED7F2D">
      <w:rPr>
        <w:rStyle w:val="Seitenzahl"/>
        <w:b/>
      </w:rPr>
      <w:fldChar w:fldCharType="begin"/>
    </w:r>
    <w:r w:rsidR="00ED7F2D">
      <w:rPr>
        <w:rStyle w:val="Seitenzahl"/>
        <w:b/>
      </w:rPr>
      <w:instrText xml:space="preserve"> PAGE </w:instrText>
    </w:r>
    <w:r w:rsidR="00ED7F2D">
      <w:rPr>
        <w:rStyle w:val="Seitenzahl"/>
        <w:b/>
      </w:rPr>
      <w:fldChar w:fldCharType="separate"/>
    </w:r>
    <w:r w:rsidR="00B20A7A">
      <w:rPr>
        <w:rStyle w:val="Seitenzahl"/>
        <w:b/>
        <w:noProof/>
      </w:rPr>
      <w:t>48</w:t>
    </w:r>
    <w:r w:rsidR="00ED7F2D">
      <w:rPr>
        <w:rStyle w:val="Seitenzahl"/>
        <w:b/>
      </w:rPr>
      <w:fldChar w:fldCharType="end"/>
    </w:r>
    <w:r w:rsidR="00ED7F2D">
      <w:rPr>
        <w:rStyle w:val="Seitenzahl"/>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F2D" w:rsidRDefault="00697AA3">
    <w:pPr>
      <w:pStyle w:val="Kopfzeile"/>
      <w:jc w:val="center"/>
    </w:pPr>
    <w:r>
      <w:rPr>
        <w:noProof/>
      </w:rPr>
      <mc:AlternateContent>
        <mc:Choice Requires="wps">
          <w:drawing>
            <wp:anchor distT="0" distB="0" distL="114300" distR="114300" simplePos="0" relativeHeight="251658240" behindDoc="0" locked="0" layoutInCell="0" allowOverlap="1">
              <wp:simplePos x="0" y="0"/>
              <wp:positionH relativeFrom="margin">
                <wp:align>right</wp:align>
              </wp:positionH>
              <wp:positionV relativeFrom="paragraph">
                <wp:posOffset>-82550</wp:posOffset>
              </wp:positionV>
              <wp:extent cx="3896995" cy="438150"/>
              <wp:effectExtent l="0" t="0" r="27305"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995" cy="438150"/>
                      </a:xfrm>
                      <a:prstGeom prst="rect">
                        <a:avLst/>
                      </a:prstGeom>
                      <a:solidFill>
                        <a:srgbClr val="FFFFFF"/>
                      </a:solidFill>
                      <a:ln w="9525">
                        <a:solidFill>
                          <a:srgbClr val="FFFFFF"/>
                        </a:solidFill>
                        <a:miter lim="800000"/>
                        <a:headEnd/>
                        <a:tailEnd/>
                      </a:ln>
                    </wps:spPr>
                    <wps:txbx>
                      <w:txbxContent>
                        <w:p w:rsidR="00ED7F2D" w:rsidRPr="003C7B37" w:rsidRDefault="009D7C5A" w:rsidP="009D7C5A">
                          <w:pPr>
                            <w:rPr>
                              <w:sz w:val="22"/>
                              <w:szCs w:val="22"/>
                            </w:rPr>
                          </w:pPr>
                          <w:r>
                            <w:rPr>
                              <w:b/>
                            </w:rPr>
                            <w:t xml:space="preserve">- </w:t>
                          </w:r>
                          <w:r w:rsidRPr="00E20563">
                            <w:rPr>
                              <w:b/>
                            </w:rPr>
                            <w:t>47</w:t>
                          </w:r>
                          <w:r>
                            <w:rPr>
                              <w:b/>
                            </w:rPr>
                            <w:t xml:space="preserve"> -</w:t>
                          </w:r>
                          <w:r w:rsidR="003C7B37">
                            <w:rPr>
                              <w:b/>
                            </w:rPr>
                            <w:tab/>
                          </w:r>
                          <w:r w:rsidRPr="00F956C9">
                            <w:rPr>
                              <w:b/>
                              <w:sz w:val="22"/>
                              <w:szCs w:val="22"/>
                              <w:highlight w:val="lightGray"/>
                              <w:lang w:eastAsia="en-US"/>
                            </w:rPr>
                            <w:t>Stabilisierungs- u</w:t>
                          </w:r>
                          <w:r w:rsidR="003C7B37">
                            <w:rPr>
                              <w:b/>
                              <w:sz w:val="22"/>
                              <w:szCs w:val="22"/>
                              <w:highlight w:val="lightGray"/>
                              <w:lang w:eastAsia="en-US"/>
                            </w:rPr>
                            <w:t>.</w:t>
                          </w:r>
                          <w:r w:rsidRPr="00F956C9">
                            <w:rPr>
                              <w:b/>
                              <w:sz w:val="22"/>
                              <w:szCs w:val="22"/>
                              <w:highlight w:val="lightGray"/>
                              <w:lang w:eastAsia="en-US"/>
                            </w:rPr>
                            <w:t xml:space="preserve"> Restrukturierungsverfahren</w:t>
                          </w:r>
                          <w:r w:rsidR="00920EEC" w:rsidRPr="008C5DC5">
                            <w:rPr>
                              <w:rFonts w:cs="Arial"/>
                              <w:b/>
                              <w:color w:val="FF0000"/>
                              <w:szCs w:val="24"/>
                              <w:u w:val="single"/>
                              <w:lang w:eastAsia="en-US"/>
                            </w:rPr>
                            <w:t xml:space="preserve">; </w:t>
                          </w:r>
                          <w:r w:rsidR="00920EEC">
                            <w:rPr>
                              <w:rFonts w:cs="Arial"/>
                              <w:b/>
                              <w:color w:val="FF0000"/>
                              <w:szCs w:val="24"/>
                              <w:u w:val="single"/>
                              <w:lang w:eastAsia="en-US"/>
                            </w:rPr>
                            <w:br/>
                          </w:r>
                          <w:r w:rsidR="003C7B37" w:rsidRPr="003C7B37">
                            <w:rPr>
                              <w:rFonts w:cs="Arial"/>
                              <w:b/>
                              <w:color w:val="FF0000"/>
                              <w:szCs w:val="24"/>
                              <w:lang w:eastAsia="en-US"/>
                            </w:rPr>
                            <w:tab/>
                          </w:r>
                          <w:r w:rsidR="00920EEC" w:rsidRPr="00323090">
                            <w:rPr>
                              <w:rFonts w:cs="Arial"/>
                              <w:b/>
                              <w:szCs w:val="24"/>
                              <w:highlight w:val="lightGray"/>
                              <w:u w:val="single"/>
                              <w:lang w:eastAsia="en-US"/>
                            </w:rPr>
                            <w:t>Sanierungsmoderationen</w:t>
                          </w:r>
                          <w:r w:rsidRPr="003C7B37">
                            <w:rPr>
                              <w:b/>
                              <w:sz w:val="22"/>
                              <w:szCs w:val="22"/>
                              <w:highlight w:val="lightGray"/>
                              <w:shd w:val="pct5" w:color="auto" w:fill="FFFFFF"/>
                            </w:rPr>
                            <w:t xml:space="preserve">  </w:t>
                          </w:r>
                          <w:r w:rsidR="003C7B37" w:rsidRPr="003C7B37">
                            <w:rPr>
                              <w:b/>
                              <w:sz w:val="22"/>
                              <w:szCs w:val="22"/>
                              <w:highlight w:val="lightGray"/>
                              <w:shd w:val="pct5" w:color="auto" w:fill="FFFFFF"/>
                            </w:rPr>
                            <w:t xml:space="preserve">                                </w:t>
                          </w:r>
                          <w:r w:rsidRPr="00F956C9">
                            <w:rPr>
                              <w:b/>
                              <w:sz w:val="22"/>
                              <w:szCs w:val="22"/>
                              <w:highlight w:val="lightGray"/>
                              <w:shd w:val="pct5" w:color="auto" w:fill="FFFFFF"/>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55.65pt;margin-top:-6.5pt;width:306.85pt;height:3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" o:allowincell="f" strokecolor="white">
              <v:textbox>
                <w:txbxContent>
                  <w:p w:rsidR="00ED7F2D" w:rsidRPr="003C7B37" w:rsidRDefault="009D7C5A" w:rsidP="009D7C5A">
                    <w:pPr>
                      <w:rPr>
                        <w:sz w:val="22"/>
                        <w:szCs w:val="22"/>
                      </w:rPr>
                    </w:pPr>
                    <w:r>
                      <w:rPr>
                        <w:b/>
                      </w:rPr>
                      <w:t xml:space="preserve">- </w:t>
                    </w:r>
                    <w:r w:rsidRPr="00E20563">
                      <w:rPr>
                        <w:b/>
                      </w:rPr>
                      <w:t>47</w:t>
                    </w:r>
                    <w:r>
                      <w:rPr>
                        <w:b/>
                      </w:rPr>
                      <w:t xml:space="preserve"> -</w:t>
                    </w:r>
                    <w:r w:rsidR="003C7B37">
                      <w:rPr>
                        <w:b/>
                      </w:rPr>
                      <w:tab/>
                    </w:r>
                    <w:r w:rsidRPr="00F956C9">
                      <w:rPr>
                        <w:b/>
                        <w:sz w:val="22"/>
                        <w:szCs w:val="22"/>
                        <w:highlight w:val="lightGray"/>
                        <w:lang w:eastAsia="en-US"/>
                      </w:rPr>
                      <w:t>Stabilisierungs- u</w:t>
                    </w:r>
                    <w:r w:rsidR="003C7B37">
                      <w:rPr>
                        <w:b/>
                        <w:sz w:val="22"/>
                        <w:szCs w:val="22"/>
                        <w:highlight w:val="lightGray"/>
                        <w:lang w:eastAsia="en-US"/>
                      </w:rPr>
                      <w:t>.</w:t>
                    </w:r>
                    <w:r w:rsidRPr="00F956C9">
                      <w:rPr>
                        <w:b/>
                        <w:sz w:val="22"/>
                        <w:szCs w:val="22"/>
                        <w:highlight w:val="lightGray"/>
                        <w:lang w:eastAsia="en-US"/>
                      </w:rPr>
                      <w:t xml:space="preserve"> Restrukturierungsverfahren</w:t>
                    </w:r>
                    <w:r w:rsidR="00920EEC" w:rsidRPr="008C5DC5">
                      <w:rPr>
                        <w:rFonts w:cs="Arial"/>
                        <w:b/>
                        <w:color w:val="FF0000"/>
                        <w:szCs w:val="24"/>
                        <w:u w:val="single"/>
                        <w:lang w:eastAsia="en-US"/>
                      </w:rPr>
                      <w:t xml:space="preserve">; </w:t>
                    </w:r>
                    <w:r w:rsidR="00920EEC">
                      <w:rPr>
                        <w:rFonts w:cs="Arial"/>
                        <w:b/>
                        <w:color w:val="FF0000"/>
                        <w:szCs w:val="24"/>
                        <w:u w:val="single"/>
                        <w:lang w:eastAsia="en-US"/>
                      </w:rPr>
                      <w:br/>
                    </w:r>
                    <w:r w:rsidR="003C7B37" w:rsidRPr="003C7B37">
                      <w:rPr>
                        <w:rFonts w:cs="Arial"/>
                        <w:b/>
                        <w:color w:val="FF0000"/>
                        <w:szCs w:val="24"/>
                        <w:lang w:eastAsia="en-US"/>
                      </w:rPr>
                      <w:tab/>
                    </w:r>
                    <w:r w:rsidR="00920EEC" w:rsidRPr="00323090">
                      <w:rPr>
                        <w:rFonts w:cs="Arial"/>
                        <w:b/>
                        <w:szCs w:val="24"/>
                        <w:highlight w:val="lightGray"/>
                        <w:u w:val="single"/>
                        <w:lang w:eastAsia="en-US"/>
                      </w:rPr>
                      <w:t>Sanierungsmoderationen</w:t>
                    </w:r>
                    <w:r w:rsidRPr="003C7B37">
                      <w:rPr>
                        <w:b/>
                        <w:sz w:val="22"/>
                        <w:szCs w:val="22"/>
                        <w:highlight w:val="lightGray"/>
                        <w:shd w:val="pct5" w:color="auto" w:fill="FFFFFF"/>
                      </w:rPr>
                      <w:t xml:space="preserve">  </w:t>
                    </w:r>
                    <w:r w:rsidR="003C7B37" w:rsidRPr="003C7B37">
                      <w:rPr>
                        <w:b/>
                        <w:sz w:val="22"/>
                        <w:szCs w:val="22"/>
                        <w:highlight w:val="lightGray"/>
                        <w:shd w:val="pct5" w:color="auto" w:fill="FFFFFF"/>
                      </w:rPr>
                      <w:t xml:space="preserve">                                </w:t>
                    </w:r>
                    <w:r w:rsidRPr="00F956C9">
                      <w:rPr>
                        <w:b/>
                        <w:sz w:val="22"/>
                        <w:szCs w:val="22"/>
                        <w:highlight w:val="lightGray"/>
                        <w:shd w:val="pct5" w:color="auto" w:fill="FFFFFF"/>
                      </w:rPr>
                      <w:t>L</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F33"/>
    <w:rsid w:val="00004024"/>
    <w:rsid w:val="00034FD2"/>
    <w:rsid w:val="000368B7"/>
    <w:rsid w:val="0006521C"/>
    <w:rsid w:val="000704C7"/>
    <w:rsid w:val="000813CA"/>
    <w:rsid w:val="000D5080"/>
    <w:rsid w:val="00154F37"/>
    <w:rsid w:val="00174CA6"/>
    <w:rsid w:val="001B1936"/>
    <w:rsid w:val="001D50DD"/>
    <w:rsid w:val="002745DD"/>
    <w:rsid w:val="00323090"/>
    <w:rsid w:val="0039292F"/>
    <w:rsid w:val="003B350D"/>
    <w:rsid w:val="003C7B37"/>
    <w:rsid w:val="003F4B45"/>
    <w:rsid w:val="0044770A"/>
    <w:rsid w:val="00456E68"/>
    <w:rsid w:val="00545D6A"/>
    <w:rsid w:val="00565FF8"/>
    <w:rsid w:val="00573AE5"/>
    <w:rsid w:val="005C0388"/>
    <w:rsid w:val="005C70A0"/>
    <w:rsid w:val="005D2970"/>
    <w:rsid w:val="005D38EF"/>
    <w:rsid w:val="00650A39"/>
    <w:rsid w:val="00697AA3"/>
    <w:rsid w:val="006A7B3C"/>
    <w:rsid w:val="006E3B48"/>
    <w:rsid w:val="0070570E"/>
    <w:rsid w:val="0072302B"/>
    <w:rsid w:val="00781715"/>
    <w:rsid w:val="007825AF"/>
    <w:rsid w:val="007E72F8"/>
    <w:rsid w:val="00874454"/>
    <w:rsid w:val="00883CD6"/>
    <w:rsid w:val="008B4E3A"/>
    <w:rsid w:val="008D2A0D"/>
    <w:rsid w:val="00920EEC"/>
    <w:rsid w:val="00921E8F"/>
    <w:rsid w:val="009670BE"/>
    <w:rsid w:val="009B773D"/>
    <w:rsid w:val="009C3143"/>
    <w:rsid w:val="009D7C5A"/>
    <w:rsid w:val="009E1603"/>
    <w:rsid w:val="009E1F21"/>
    <w:rsid w:val="00A00935"/>
    <w:rsid w:val="00A274FB"/>
    <w:rsid w:val="00A71F33"/>
    <w:rsid w:val="00AD173B"/>
    <w:rsid w:val="00B048FA"/>
    <w:rsid w:val="00B14654"/>
    <w:rsid w:val="00B20A7A"/>
    <w:rsid w:val="00B32307"/>
    <w:rsid w:val="00B37228"/>
    <w:rsid w:val="00B45F32"/>
    <w:rsid w:val="00B76608"/>
    <w:rsid w:val="00BC4BF1"/>
    <w:rsid w:val="00BE6F6F"/>
    <w:rsid w:val="00C10DED"/>
    <w:rsid w:val="00C45232"/>
    <w:rsid w:val="00C63CA4"/>
    <w:rsid w:val="00C952F8"/>
    <w:rsid w:val="00CF2435"/>
    <w:rsid w:val="00E20563"/>
    <w:rsid w:val="00E64D15"/>
    <w:rsid w:val="00E8170F"/>
    <w:rsid w:val="00E90283"/>
    <w:rsid w:val="00ED7F2D"/>
    <w:rsid w:val="00F315DF"/>
    <w:rsid w:val="00F73ABC"/>
    <w:rsid w:val="00F83530"/>
    <w:rsid w:val="00F956C9"/>
    <w:rsid w:val="00FC51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2B9A890D"/>
  <w15:chartTrackingRefBased/>
  <w15:docId w15:val="{BF078B3B-DAE1-4D14-8EA9-FAC300D8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link w:val="berschrift1Zchn"/>
    <w:qFormat/>
    <w:pPr>
      <w:keepNext/>
      <w:spacing w:line="360" w:lineRule="auto"/>
      <w:outlineLvl w:val="0"/>
    </w:pPr>
    <w:rPr>
      <w:rFonts w:ascii="Univers" w:hAnsi="Univers"/>
      <w:b/>
      <w:u w:val="single"/>
    </w:rPr>
  </w:style>
  <w:style w:type="paragraph" w:styleId="berschrift2">
    <w:name w:val="heading 2"/>
    <w:basedOn w:val="Standard"/>
    <w:next w:val="Standard"/>
    <w:link w:val="berschrift2Zchn"/>
    <w:unhideWhenUsed/>
    <w:qFormat/>
    <w:rsid w:val="009D7C5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8">
    <w:name w:val="heading 8"/>
    <w:basedOn w:val="Standard"/>
    <w:next w:val="Standard"/>
    <w:link w:val="berschrift8Zchn"/>
    <w:semiHidden/>
    <w:unhideWhenUsed/>
    <w:qFormat/>
    <w:rsid w:val="009D7C5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9D7C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text">
    <w:name w:val="Normaltext"/>
    <w:basedOn w:val="Standard"/>
    <w:uiPriority w:val="99"/>
    <w:rPr>
      <w:sz w:val="28"/>
    </w:rPr>
  </w:style>
  <w:style w:type="paragraph" w:customStyle="1" w:styleId="berschrift">
    <w:name w:val="Überschrift"/>
    <w:basedOn w:val="Normaltext"/>
    <w:next w:val="Normaltext"/>
    <w:rPr>
      <w:b/>
      <w:i/>
    </w:rPr>
  </w:style>
  <w:style w:type="paragraph" w:customStyle="1" w:styleId="Hauptberschrift">
    <w:name w:val="Hauptüberschrift"/>
    <w:basedOn w:val="Standard"/>
    <w:next w:val="Normaltext"/>
    <w:rPr>
      <w:b/>
      <w:sz w:val="32"/>
    </w:rPr>
  </w:style>
  <w:style w:type="paragraph" w:customStyle="1" w:styleId="Betreff">
    <w:name w:val="Betreff"/>
    <w:basedOn w:val="Standard"/>
    <w:pPr>
      <w:tabs>
        <w:tab w:val="left" w:pos="1134"/>
      </w:tabs>
      <w:ind w:left="1134" w:hanging="1134"/>
    </w:pPr>
  </w:style>
  <w:style w:type="paragraph" w:customStyle="1" w:styleId="Betreffa">
    <w:name w:val="Betreffa"/>
    <w:basedOn w:val="Standard"/>
    <w:pPr>
      <w:tabs>
        <w:tab w:val="left" w:pos="1134"/>
        <w:tab w:val="left" w:pos="1701"/>
      </w:tabs>
      <w:ind w:left="1701" w:hanging="1701"/>
    </w:pPr>
  </w:style>
  <w:style w:type="paragraph" w:customStyle="1" w:styleId="pb">
    <w:name w:val="pb"/>
    <w:basedOn w:val="Standard"/>
    <w:pPr>
      <w:tabs>
        <w:tab w:val="left" w:pos="3686"/>
        <w:tab w:val="left" w:pos="4820"/>
      </w:tabs>
    </w:pPr>
  </w:style>
  <w:style w:type="paragraph" w:styleId="Fuzeile">
    <w:name w:val="footer"/>
    <w:basedOn w:val="Standard"/>
    <w:pPr>
      <w:tabs>
        <w:tab w:val="center" w:pos="4536"/>
        <w:tab w:val="right" w:pos="9072"/>
      </w:tabs>
    </w:pPr>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tyle>
  <w:style w:type="paragraph" w:styleId="Beschriftung">
    <w:name w:val="caption"/>
    <w:basedOn w:val="Standard"/>
    <w:next w:val="Standard"/>
    <w:qFormat/>
    <w:rsid w:val="00C952F8"/>
    <w:pPr>
      <w:framePr w:w="4243" w:h="433" w:hSpace="141" w:wrap="around" w:vAnchor="text" w:hAnchor="page" w:x="1471" w:y="-378"/>
    </w:pPr>
    <w:rPr>
      <w:rFonts w:ascii="Univers" w:hAnsi="Univers"/>
      <w:b/>
      <w:sz w:val="16"/>
      <w:u w:val="single"/>
    </w:rPr>
  </w:style>
  <w:style w:type="paragraph" w:styleId="Sprechblasentext">
    <w:name w:val="Balloon Text"/>
    <w:basedOn w:val="Standard"/>
    <w:link w:val="SprechblasentextZchn"/>
    <w:rsid w:val="000813CA"/>
    <w:rPr>
      <w:rFonts w:ascii="Tahoma" w:hAnsi="Tahoma" w:cs="Tahoma"/>
      <w:sz w:val="16"/>
      <w:szCs w:val="16"/>
    </w:rPr>
  </w:style>
  <w:style w:type="character" w:customStyle="1" w:styleId="SprechblasentextZchn">
    <w:name w:val="Sprechblasentext Zchn"/>
    <w:link w:val="Sprechblasentext"/>
    <w:rsid w:val="000813CA"/>
    <w:rPr>
      <w:rFonts w:ascii="Tahoma" w:hAnsi="Tahoma" w:cs="Tahoma"/>
      <w:sz w:val="16"/>
      <w:szCs w:val="16"/>
    </w:rPr>
  </w:style>
  <w:style w:type="character" w:customStyle="1" w:styleId="berschrift2Zchn">
    <w:name w:val="Überschrift 2 Zchn"/>
    <w:basedOn w:val="Absatz-Standardschriftart"/>
    <w:link w:val="berschrift2"/>
    <w:rsid w:val="009D7C5A"/>
    <w:rPr>
      <w:rFonts w:asciiTheme="majorHAnsi" w:eastAsiaTheme="majorEastAsia" w:hAnsiTheme="majorHAnsi" w:cstheme="majorBidi"/>
      <w:color w:val="2E74B5" w:themeColor="accent1" w:themeShade="BF"/>
      <w:sz w:val="26"/>
      <w:szCs w:val="26"/>
    </w:rPr>
  </w:style>
  <w:style w:type="character" w:customStyle="1" w:styleId="berschrift9Zchn">
    <w:name w:val="Überschrift 9 Zchn"/>
    <w:basedOn w:val="Absatz-Standardschriftart"/>
    <w:link w:val="berschrift9"/>
    <w:semiHidden/>
    <w:rsid w:val="009D7C5A"/>
    <w:rPr>
      <w:rFonts w:asciiTheme="majorHAnsi" w:eastAsiaTheme="majorEastAsia" w:hAnsiTheme="majorHAnsi" w:cstheme="majorBidi"/>
      <w:i/>
      <w:iCs/>
      <w:color w:val="272727" w:themeColor="text1" w:themeTint="D8"/>
      <w:sz w:val="21"/>
      <w:szCs w:val="21"/>
    </w:rPr>
  </w:style>
  <w:style w:type="character" w:customStyle="1" w:styleId="KopfzeileZchn">
    <w:name w:val="Kopfzeile Zchn"/>
    <w:basedOn w:val="Absatz-Standardschriftart"/>
    <w:link w:val="Kopfzeile"/>
    <w:uiPriority w:val="99"/>
    <w:rsid w:val="009D7C5A"/>
    <w:rPr>
      <w:rFonts w:ascii="Arial" w:hAnsi="Arial"/>
      <w:sz w:val="24"/>
    </w:rPr>
  </w:style>
  <w:style w:type="paragraph" w:styleId="Textkrper2">
    <w:name w:val="Body Text 2"/>
    <w:basedOn w:val="Standard"/>
    <w:link w:val="Textkrper2Zchn"/>
    <w:uiPriority w:val="99"/>
    <w:unhideWhenUsed/>
    <w:rsid w:val="009D7C5A"/>
    <w:rPr>
      <w:rFonts w:ascii="Univers" w:eastAsiaTheme="minorHAnsi" w:hAnsi="Univers"/>
      <w:sz w:val="20"/>
    </w:rPr>
  </w:style>
  <w:style w:type="character" w:customStyle="1" w:styleId="Textkrper2Zchn">
    <w:name w:val="Textkörper 2 Zchn"/>
    <w:basedOn w:val="Absatz-Standardschriftart"/>
    <w:link w:val="Textkrper2"/>
    <w:uiPriority w:val="99"/>
    <w:rsid w:val="009D7C5A"/>
    <w:rPr>
      <w:rFonts w:ascii="Univers" w:eastAsiaTheme="minorHAnsi" w:hAnsi="Univers"/>
    </w:rPr>
  </w:style>
  <w:style w:type="character" w:customStyle="1" w:styleId="berschrift8Zchn">
    <w:name w:val="Überschrift 8 Zchn"/>
    <w:basedOn w:val="Absatz-Standardschriftart"/>
    <w:link w:val="berschrift8"/>
    <w:semiHidden/>
    <w:rsid w:val="009D7C5A"/>
    <w:rPr>
      <w:rFonts w:asciiTheme="majorHAnsi" w:eastAsiaTheme="majorEastAsia" w:hAnsiTheme="majorHAnsi" w:cstheme="majorBidi"/>
      <w:color w:val="272727" w:themeColor="text1" w:themeTint="D8"/>
      <w:sz w:val="21"/>
      <w:szCs w:val="21"/>
    </w:rPr>
  </w:style>
  <w:style w:type="character" w:styleId="Hyperlink">
    <w:name w:val="Hyperlink"/>
    <w:rsid w:val="009D7C5A"/>
    <w:rPr>
      <w:color w:val="0000FF"/>
      <w:u w:val="single"/>
    </w:rPr>
  </w:style>
  <w:style w:type="character" w:customStyle="1" w:styleId="berschrift1Zchn">
    <w:name w:val="Überschrift 1 Zchn"/>
    <w:basedOn w:val="Absatz-Standardschriftart"/>
    <w:link w:val="berschrift1"/>
    <w:rsid w:val="0044770A"/>
    <w:rPr>
      <w:rFonts w:ascii="Univers" w:hAnsi="Univers"/>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2911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Phonokanzlei</vt:lpstr>
    </vt:vector>
  </TitlesOfParts>
  <Company>Land Niedersachsen</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Phonokanzlei</dc:title>
  <dc:subject/>
  <dc:creator>Armbrecht_S</dc:creator>
  <cp:keywords/>
  <dc:description/>
  <cp:lastModifiedBy>Silke Armbrecht</cp:lastModifiedBy>
  <cp:revision>5</cp:revision>
  <cp:lastPrinted>2021-10-02T04:56:00Z</cp:lastPrinted>
  <dcterms:created xsi:type="dcterms:W3CDTF">2021-12-05T04:05:00Z</dcterms:created>
  <dcterms:modified xsi:type="dcterms:W3CDTF">2023-04-26T14:03:00Z</dcterms:modified>
</cp:coreProperties>
</file>